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4F317">
      <w:pPr>
        <w:spacing w:line="560" w:lineRule="exact"/>
        <w:jc w:val="left"/>
        <w:rPr>
          <w:rFonts w:ascii="Times New Roman" w:hAnsi="Times New Roman" w:eastAsia="方正小标宋_GBK" w:cs="Times New Roman"/>
          <w:sz w:val="44"/>
          <w:szCs w:val="44"/>
        </w:rPr>
      </w:pPr>
      <w:r>
        <w:rPr>
          <w:rFonts w:eastAsia="黑体"/>
          <w:sz w:val="32"/>
          <w:szCs w:val="32"/>
        </w:rPr>
        <w:t>附件2</w:t>
      </w:r>
    </w:p>
    <w:p w14:paraId="68B84194">
      <w:pPr>
        <w:spacing w:line="560" w:lineRule="exact"/>
        <w:jc w:val="center"/>
        <w:rPr>
          <w:rFonts w:eastAsia="方正小标宋_GBK"/>
          <w:sz w:val="44"/>
          <w:szCs w:val="44"/>
        </w:rPr>
      </w:pPr>
    </w:p>
    <w:p w14:paraId="2474ADA6">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小标宋_GBK" w:cs="Times New Roman"/>
          <w:bCs/>
          <w:color w:val="auto"/>
          <w:sz w:val="44"/>
          <w:szCs w:val="44"/>
          <w:shd w:val="clear" w:color="auto" w:fill="FFFFFF"/>
        </w:rPr>
      </w:pPr>
      <w:bookmarkStart w:id="0" w:name="_GoBack"/>
      <w:r>
        <w:rPr>
          <w:rFonts w:hint="default" w:ascii="Times New Roman" w:hAnsi="Times New Roman" w:eastAsia="方正小标宋_GBK" w:cs="Times New Roman"/>
          <w:bCs/>
          <w:color w:val="auto"/>
          <w:sz w:val="44"/>
          <w:szCs w:val="44"/>
          <w:shd w:val="clear" w:color="auto" w:fill="FFFFFF"/>
          <w:lang w:val="en-US" w:eastAsia="zh-CN"/>
        </w:rPr>
        <w:t>许昌</w:t>
      </w:r>
      <w:r>
        <w:rPr>
          <w:rFonts w:hint="default" w:ascii="Times New Roman" w:hAnsi="Times New Roman" w:eastAsia="方正小标宋_GBK" w:cs="Times New Roman"/>
          <w:bCs/>
          <w:color w:val="auto"/>
          <w:sz w:val="44"/>
          <w:szCs w:val="44"/>
          <w:shd w:val="clear" w:color="auto" w:fill="FFFFFF"/>
        </w:rPr>
        <w:t>市消防安全重点单位界定标准</w:t>
      </w:r>
      <w:bookmarkEnd w:id="0"/>
    </w:p>
    <w:p w14:paraId="470B1D99">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楷体_GBK" w:cs="Times New Roman"/>
          <w:b w:val="0"/>
          <w:bCs/>
          <w:color w:val="auto"/>
          <w:sz w:val="32"/>
          <w:szCs w:val="32"/>
          <w:shd w:val="clear" w:color="auto" w:fill="FFFFFF"/>
        </w:rPr>
      </w:pPr>
      <w:r>
        <w:rPr>
          <w:rFonts w:hint="default" w:ascii="Times New Roman" w:hAnsi="Times New Roman" w:eastAsia="方正楷体_GBK" w:cs="Times New Roman"/>
          <w:b w:val="0"/>
          <w:bCs/>
          <w:color w:val="auto"/>
          <w:sz w:val="32"/>
          <w:szCs w:val="32"/>
          <w:shd w:val="clear" w:color="auto" w:fill="FFFFFF"/>
        </w:rPr>
        <w:t>（</w:t>
      </w:r>
      <w:r>
        <w:rPr>
          <w:rFonts w:hint="default" w:ascii="Times New Roman" w:hAnsi="Times New Roman" w:eastAsia="方正楷体_GBK" w:cs="Times New Roman"/>
          <w:b w:val="0"/>
          <w:bCs/>
          <w:color w:val="auto"/>
          <w:sz w:val="32"/>
          <w:szCs w:val="32"/>
          <w:shd w:val="clear" w:color="auto" w:fill="FFFFFF"/>
          <w:lang w:val="en-US" w:eastAsia="zh-CN"/>
        </w:rPr>
        <w:t>2026年修订版</w:t>
      </w:r>
      <w:r>
        <w:rPr>
          <w:rFonts w:hint="default" w:ascii="Times New Roman" w:hAnsi="Times New Roman" w:eastAsia="方正楷体_GBK" w:cs="Times New Roman"/>
          <w:b w:val="0"/>
          <w:bCs/>
          <w:color w:val="auto"/>
          <w:sz w:val="32"/>
          <w:szCs w:val="32"/>
          <w:shd w:val="clear" w:color="auto" w:fill="FFFFFF"/>
        </w:rPr>
        <w:t>）</w:t>
      </w:r>
    </w:p>
    <w:p w14:paraId="207361E9">
      <w:pPr>
        <w:pStyle w:val="2"/>
        <w:keepNext w:val="0"/>
        <w:keepLines w:val="0"/>
        <w:pageBreakBefore w:val="0"/>
        <w:kinsoku/>
        <w:wordWrap/>
        <w:overflowPunct/>
        <w:topLinePunct w:val="0"/>
        <w:autoSpaceDE/>
        <w:autoSpaceDN/>
        <w:bidi w:val="0"/>
        <w:adjustRightInd/>
        <w:spacing w:after="0" w:line="600" w:lineRule="exact"/>
        <w:ind w:left="0" w:leftChars="0"/>
        <w:textAlignment w:val="auto"/>
        <w:rPr>
          <w:rFonts w:hint="default" w:ascii="Times New Roman" w:hAnsi="Times New Roman" w:eastAsia="方正黑体_GBK" w:cs="Times New Roman"/>
          <w:color w:val="auto"/>
          <w:sz w:val="32"/>
          <w:szCs w:val="32"/>
          <w:lang w:val="en-US" w:eastAsia="zh-CN"/>
        </w:rPr>
      </w:pPr>
    </w:p>
    <w:p w14:paraId="3595E39C">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cs="Times New Roman"/>
          <w:color w:val="auto"/>
          <w:lang w:val="en-US" w:eastAsia="zh-CN"/>
        </w:rPr>
      </w:pPr>
      <w:r>
        <w:rPr>
          <w:rFonts w:hint="default" w:ascii="Times New Roman" w:hAnsi="Times New Roman" w:eastAsia="方正黑体_GBK" w:cs="Times New Roman"/>
          <w:color w:val="auto"/>
          <w:sz w:val="32"/>
          <w:szCs w:val="32"/>
          <w:lang w:val="en-US" w:eastAsia="zh-CN"/>
        </w:rPr>
        <w:t>一、宾馆、饭店、商场、集贸市场、体育场馆、会堂、公共娱乐场所等公众聚集场所：</w:t>
      </w:r>
    </w:p>
    <w:p w14:paraId="40322539">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（一）建筑面积在1000平方米以上且经营可燃商品的商场、集贸市场</w:t>
      </w:r>
      <w:r>
        <w:rPr>
          <w:rFonts w:hint="eastAsia" w:ascii="Times New Roman" w:hAnsi="Times New Roman" w:eastAsia="方正仿宋_GBK" w:cs="Times New Roman"/>
          <w:color w:val="auto"/>
          <w:sz w:val="32"/>
          <w:szCs w:val="32"/>
          <w:lang w:val="en-US" w:eastAsia="zh-CN"/>
        </w:rPr>
        <w:t>。其中，建筑面积100000平方米以上的商场、市场为一级消防安全重点单位；建筑面积大于2000平方米小于100000平方米的商场、大于10000平方米小于100000平方米的市场为二级消防安全重点单位；其余为三级重点单位。</w:t>
      </w:r>
    </w:p>
    <w:p w14:paraId="2F5BE3BB">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（二）客房数在50间以上，或客房数在50间以下但设有商场、歌舞娱乐、餐饮场所等且建筑面积大于2000平方米的宾馆、饭店</w:t>
      </w:r>
      <w:r>
        <w:rPr>
          <w:rFonts w:hint="eastAsia" w:ascii="Times New Roman" w:hAnsi="Times New Roman" w:eastAsia="方正仿宋_GBK" w:cs="Times New Roman"/>
          <w:color w:val="auto"/>
          <w:sz w:val="32"/>
          <w:szCs w:val="32"/>
          <w:lang w:val="en-US" w:eastAsia="zh-CN"/>
        </w:rPr>
        <w:t>。其中，客房数在400间以上的为一级消防安全重点单位；100间以上400间以下的为二级重点单位；其余为三级重点单位。</w:t>
      </w:r>
    </w:p>
    <w:p w14:paraId="6C156172">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（三）公共的体育场馆、会堂</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26B5F33D">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（四）建筑面积在200平方米以上的下列室内公共娱乐场所：</w:t>
      </w:r>
    </w:p>
    <w:p w14:paraId="3EF678F8">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1.影剧院、放映厅、礼堂等演出放映场所；</w:t>
      </w:r>
    </w:p>
    <w:p w14:paraId="2AFD1622">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2.舞厅、KTV等歌舞娱乐场所；</w:t>
      </w:r>
    </w:p>
    <w:p w14:paraId="75390F95">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3.具有娱乐功能的夜总会、音乐茶座和餐饮场所；</w:t>
      </w:r>
    </w:p>
    <w:p w14:paraId="1FF7FF41">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4.游艺、游乐场所；</w:t>
      </w:r>
    </w:p>
    <w:p w14:paraId="27279169">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其中，建筑面积在500平方米以上的为二级消防安全重点单位；其余为三级重点单位。</w:t>
      </w:r>
    </w:p>
    <w:p w14:paraId="120F6281">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（五）建筑面积在500平方米以上的足浴、美容院、桑拿浴室（洗浴部分面积除外）等营业性健身、休闲场所。</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38A6D341">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二、医院、养老院和寄宿制的学校托儿所、幼儿园：</w:t>
      </w:r>
    </w:p>
    <w:p w14:paraId="25912B61">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（一）住院床位在50张以上的医疗保健机构</w:t>
      </w:r>
      <w:r>
        <w:rPr>
          <w:rFonts w:hint="eastAsia" w:ascii="Times New Roman" w:hAnsi="Times New Roman" w:eastAsia="方正仿宋_GBK" w:cs="Times New Roman"/>
          <w:color w:val="auto"/>
          <w:sz w:val="32"/>
          <w:szCs w:val="32"/>
          <w:lang w:val="en-US" w:eastAsia="zh-CN"/>
        </w:rPr>
        <w:t>。其中，住院床位在2000张以上的为一级消防安全重点单位；200张以上2000张以下的为二级重点单位；其余为三级重点单位。</w:t>
      </w:r>
    </w:p>
    <w:p w14:paraId="141A54B7">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（二）住宿床位在50张以上的养老院、福利院</w:t>
      </w:r>
      <w:r>
        <w:rPr>
          <w:rFonts w:hint="eastAsia" w:ascii="Times New Roman" w:hAnsi="Times New Roman" w:eastAsia="方正仿宋_GBK" w:cs="Times New Roman"/>
          <w:color w:val="auto"/>
          <w:sz w:val="32"/>
          <w:szCs w:val="32"/>
          <w:lang w:val="en-US" w:eastAsia="zh-CN"/>
        </w:rPr>
        <w:t>。其中，</w:t>
      </w:r>
      <w:r>
        <w:rPr>
          <w:rFonts w:hint="default" w:ascii="Times New Roman" w:hAnsi="Times New Roman" w:eastAsia="方正仿宋_GBK" w:cs="Times New Roman"/>
          <w:color w:val="auto"/>
          <w:sz w:val="32"/>
          <w:szCs w:val="32"/>
          <w:lang w:val="en-US" w:eastAsia="zh-CN"/>
        </w:rPr>
        <w:t>住宿床位在</w:t>
      </w:r>
      <w:r>
        <w:rPr>
          <w:rFonts w:hint="eastAsia" w:ascii="Times New Roman" w:hAnsi="Times New Roman" w:eastAsia="方正仿宋_GBK" w:cs="Times New Roman"/>
          <w:color w:val="auto"/>
          <w:sz w:val="32"/>
          <w:szCs w:val="32"/>
          <w:lang w:val="en-US" w:eastAsia="zh-CN"/>
        </w:rPr>
        <w:t>100张床位以上的为二级消防安全重点单位；其余为三级重点单位。</w:t>
      </w:r>
    </w:p>
    <w:p w14:paraId="32DA4C0A">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（三）学生住宿床位在100张以上的学校</w:t>
      </w:r>
      <w:r>
        <w:rPr>
          <w:rFonts w:hint="eastAsia" w:ascii="Times New Roman" w:hAnsi="Times New Roman" w:eastAsia="方正仿宋_GBK" w:cs="Times New Roman"/>
          <w:color w:val="auto"/>
          <w:sz w:val="32"/>
          <w:szCs w:val="32"/>
          <w:lang w:val="en-US" w:eastAsia="zh-CN"/>
        </w:rPr>
        <w:t>。其中，学生住宿床位在15000张以上的为一级消防安全重点单位；1000张以上15000张以下的为二级重点单位；其余为三级重点单位。</w:t>
      </w:r>
    </w:p>
    <w:p w14:paraId="571D3C11">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（四）幼儿住宿床位在50张以上的托儿所、幼儿园。</w:t>
      </w:r>
      <w:r>
        <w:rPr>
          <w:rFonts w:hint="eastAsia" w:ascii="Times New Roman" w:hAnsi="Times New Roman" w:eastAsia="方正仿宋_GBK" w:cs="Times New Roman"/>
          <w:color w:val="auto"/>
          <w:sz w:val="32"/>
          <w:szCs w:val="32"/>
          <w:lang w:val="en-US" w:eastAsia="zh-CN"/>
        </w:rPr>
        <w:t>其中，</w:t>
      </w:r>
      <w:r>
        <w:rPr>
          <w:rFonts w:hint="default" w:ascii="Times New Roman" w:hAnsi="Times New Roman" w:eastAsia="方正仿宋_GBK" w:cs="Times New Roman"/>
          <w:color w:val="auto"/>
          <w:sz w:val="32"/>
          <w:szCs w:val="32"/>
          <w:lang w:val="en-US" w:eastAsia="zh-CN"/>
        </w:rPr>
        <w:t>幼儿住宿床位在</w:t>
      </w:r>
      <w:r>
        <w:rPr>
          <w:rFonts w:hint="eastAsia" w:ascii="Times New Roman" w:hAnsi="Times New Roman" w:eastAsia="方正仿宋_GBK" w:cs="Times New Roman"/>
          <w:color w:val="auto"/>
          <w:sz w:val="32"/>
          <w:szCs w:val="32"/>
          <w:lang w:val="en-US" w:eastAsia="zh-CN"/>
        </w:rPr>
        <w:t>100张以上的为二级消防安全重点单位；其余为三级重点单位。</w:t>
      </w:r>
    </w:p>
    <w:p w14:paraId="106ADCA7">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三、国家机关：</w:t>
      </w:r>
    </w:p>
    <w:p w14:paraId="28A2B05C">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（一）县级以上的党委、人大、政府、政协</w:t>
      </w:r>
      <w:r>
        <w:rPr>
          <w:rFonts w:hint="eastAsia" w:ascii="Times New Roman" w:hAnsi="Times New Roman" w:eastAsia="方正仿宋_GBK" w:cs="Times New Roman"/>
          <w:color w:val="auto"/>
          <w:sz w:val="32"/>
          <w:szCs w:val="32"/>
          <w:lang w:val="en-US" w:eastAsia="zh-CN"/>
        </w:rPr>
        <w:t>。其中，市级党委、人大、政府、政协为一级消防安全重点单位；县级党委、人大、政府、政协为二级重点单位。</w:t>
      </w:r>
    </w:p>
    <w:p w14:paraId="2616A46D">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（二）县级以上的人民检察院、人民法院。</w:t>
      </w:r>
      <w:r>
        <w:rPr>
          <w:rFonts w:hint="eastAsia" w:ascii="Times New Roman" w:hAnsi="Times New Roman" w:eastAsia="方正仿宋_GBK" w:cs="Times New Roman"/>
          <w:color w:val="auto"/>
          <w:sz w:val="32"/>
          <w:szCs w:val="32"/>
          <w:lang w:val="en-US" w:eastAsia="zh-CN"/>
        </w:rPr>
        <w:t>其中，市级人民检察院、人民法院为一级消防安全重点单位；县级人民检察院、人民法院为二级重点单位。</w:t>
      </w:r>
    </w:p>
    <w:p w14:paraId="0CE090D3">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四、广播、电视和邮政、通信枢纽：</w:t>
      </w:r>
    </w:p>
    <w:p w14:paraId="6A04B3AB">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（一）县级以上广播电台、电视台</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79AEEB52">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（二）县级以上邮政、通信枢纽单位</w:t>
      </w:r>
      <w:r>
        <w:rPr>
          <w:rFonts w:hint="eastAsia" w:ascii="Times New Roman" w:hAnsi="Times New Roman" w:eastAsia="方正仿宋_GBK" w:cs="Times New Roman"/>
          <w:color w:val="auto"/>
          <w:sz w:val="32"/>
          <w:szCs w:val="32"/>
          <w:lang w:val="en-US" w:eastAsia="zh-CN"/>
        </w:rPr>
        <w:t>。其中，市级移动、电信、联通公司为一级消防安全重点单位；其余为二级重点单位。</w:t>
      </w:r>
    </w:p>
    <w:p w14:paraId="28BA5F42">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（三）县级以上数据中心。</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357B6C41">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五、客运车站、码头、民用机场：</w:t>
      </w:r>
    </w:p>
    <w:p w14:paraId="16AD03FA">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（一）建筑面积在500平方米以上的客运车站</w:t>
      </w:r>
      <w:r>
        <w:rPr>
          <w:rFonts w:hint="eastAsia" w:eastAsia="方正仿宋_GBK" w:cs="Times New Roman"/>
          <w:color w:val="auto"/>
          <w:sz w:val="32"/>
          <w:szCs w:val="32"/>
          <w:lang w:val="en-US" w:eastAsia="zh-CN"/>
        </w:rPr>
        <w:t>候</w:t>
      </w:r>
      <w:r>
        <w:rPr>
          <w:rFonts w:hint="default" w:ascii="Times New Roman" w:hAnsi="Times New Roman" w:eastAsia="方正仿宋_GBK" w:cs="Times New Roman"/>
          <w:color w:val="auto"/>
          <w:sz w:val="32"/>
          <w:szCs w:val="32"/>
          <w:lang w:val="en-US" w:eastAsia="zh-CN"/>
        </w:rPr>
        <w:t>车厅、客运码头候船厅</w:t>
      </w:r>
      <w:r>
        <w:rPr>
          <w:rFonts w:hint="eastAsia" w:ascii="Times New Roman" w:hAnsi="Times New Roman" w:eastAsia="方正仿宋_GBK" w:cs="Times New Roman"/>
          <w:color w:val="auto"/>
          <w:sz w:val="32"/>
          <w:szCs w:val="32"/>
          <w:lang w:val="en-US" w:eastAsia="zh-CN"/>
        </w:rPr>
        <w:t>。其中，1000平方米以上的为二级消防安全重点单位；其余为三级重点单位。</w:t>
      </w:r>
    </w:p>
    <w:p w14:paraId="374FEDCF">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（二）民用机场航站楼。</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391D90AF">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六、公共图书馆、展览馆、博物馆、档案馆以及具有火灾危险性的文物保护单位、旅游景区：</w:t>
      </w:r>
    </w:p>
    <w:p w14:paraId="61D2C3C1">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（一）建筑面积在2000平方米以上的公共图书馆、展览馆</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5DFC7552">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（二）公共博物馆、档案馆</w:t>
      </w:r>
      <w:r>
        <w:rPr>
          <w:rFonts w:hint="eastAsia" w:ascii="Times New Roman" w:hAnsi="Times New Roman" w:eastAsia="方正仿宋_GBK" w:cs="Times New Roman"/>
          <w:color w:val="auto"/>
          <w:sz w:val="32"/>
          <w:szCs w:val="32"/>
          <w:lang w:val="en-US" w:eastAsia="zh-CN"/>
        </w:rPr>
        <w:t>。其中，市级博物馆、档案馆为一级消防安全重点单位；其余为二级重点单位。</w:t>
      </w:r>
    </w:p>
    <w:p w14:paraId="0883E3B2">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（三）具有火灾危险性的县级以上文物保护单位</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0535D3E4">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（四）4A级以上具有建筑火灾危险性的旅游景区。</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4B3DB296">
      <w:pPr>
        <w:pStyle w:val="2"/>
        <w:keepNext w:val="0"/>
        <w:keepLines w:val="0"/>
        <w:pageBreakBefore w:val="0"/>
        <w:widowControl w:val="0"/>
        <w:numPr>
          <w:ilvl w:val="0"/>
          <w:numId w:val="1"/>
        </w:numPr>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发电厂（站）和电网经营企业。</w:t>
      </w:r>
    </w:p>
    <w:p w14:paraId="7B3FF21E">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（一）发电厂（站）按照属地管理原则，列为二级消防安全重点单位。</w:t>
      </w:r>
    </w:p>
    <w:p w14:paraId="56F8F485">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（二）电网经营企业。其中，市级为一级消防安全重点单位；县级为二级重点单位；其余为三级。</w:t>
      </w:r>
    </w:p>
    <w:p w14:paraId="76E9D27E">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八、易燃易爆化学物品的生产、充装、储存、供应、销售单位：</w:t>
      </w:r>
    </w:p>
    <w:p w14:paraId="45056540">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（一）生产易燃易爆化学物品的工厂</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1FB00FFC">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（二）易燃易爆气体和液体的灌装站、调压站</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0DBE30CA">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（三）储存易燃易爆化学物品的专用仓库（堆场、储罐场所）</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706D4212">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（四）营业性加油站、加气站，液化石油气供应站（换瓶站）</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551BAE9D">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（五）经营易燃易爆化学物品的化工商店</w:t>
      </w:r>
      <w:r>
        <w:rPr>
          <w:rFonts w:hint="eastAsia" w:ascii="Times New Roman" w:hAnsi="Times New Roman" w:eastAsia="方正仿宋_GBK" w:cs="Times New Roman"/>
          <w:color w:val="auto"/>
          <w:sz w:val="32"/>
          <w:szCs w:val="32"/>
          <w:lang w:val="en-US" w:eastAsia="zh-CN"/>
        </w:rPr>
        <w:t>。</w:t>
      </w:r>
    </w:p>
    <w:p w14:paraId="45080A21">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1.经营甲、乙类易燃易爆化学物品，站内总存量300公斤或5立方米以上的商店</w:t>
      </w:r>
      <w:r>
        <w:rPr>
          <w:rFonts w:hint="eastAsia" w:ascii="Times New Roman" w:hAnsi="Times New Roman" w:eastAsia="方正仿宋_GBK" w:cs="Times New Roman"/>
          <w:color w:val="auto"/>
          <w:sz w:val="32"/>
          <w:szCs w:val="32"/>
          <w:lang w:val="en-US" w:eastAsia="zh-CN"/>
        </w:rPr>
        <w:t>。其中，站内</w:t>
      </w:r>
      <w:r>
        <w:rPr>
          <w:rFonts w:hint="default" w:ascii="Times New Roman" w:hAnsi="Times New Roman" w:eastAsia="方正仿宋_GBK" w:cs="Times New Roman"/>
          <w:color w:val="auto"/>
          <w:sz w:val="32"/>
          <w:szCs w:val="32"/>
          <w:lang w:val="en-US" w:eastAsia="zh-CN"/>
        </w:rPr>
        <w:t>总存量</w:t>
      </w:r>
      <w:r>
        <w:rPr>
          <w:rFonts w:hint="eastAsia" w:ascii="Times New Roman" w:hAnsi="Times New Roman" w:eastAsia="方正仿宋_GBK" w:cs="Times New Roman"/>
          <w:color w:val="auto"/>
          <w:sz w:val="32"/>
          <w:szCs w:val="32"/>
          <w:lang w:val="en-US" w:eastAsia="zh-CN"/>
        </w:rPr>
        <w:t>500公斤或10立方米以上的为二级消防安全重点单位；其余为三级重点单位。</w:t>
      </w:r>
    </w:p>
    <w:p w14:paraId="54A87D9B">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2.经营甲、乙类易燃易爆化学物品营业面积在300平方米以上的商店。</w:t>
      </w:r>
      <w:r>
        <w:rPr>
          <w:rFonts w:hint="eastAsia" w:ascii="Times New Roman" w:hAnsi="Times New Roman" w:eastAsia="方正仿宋_GBK" w:cs="Times New Roman"/>
          <w:color w:val="auto"/>
          <w:sz w:val="32"/>
          <w:szCs w:val="32"/>
          <w:lang w:val="en-US" w:eastAsia="zh-CN"/>
        </w:rPr>
        <w:t>其中，营业面积在500平方米以上的商店为二级消防安全重点单位；其余为三级重点单位。</w:t>
      </w:r>
    </w:p>
    <w:p w14:paraId="29E3CDEC">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九、劳动密集型生产、加工企业：</w:t>
      </w:r>
    </w:p>
    <w:p w14:paraId="2482844F">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（一）单个生产车间员工在100人以上的服装、鞋帽、玩具、食品等劳动密集型企业</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3185C39D">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（二）同一建筑内存在多个服装、鞋帽、玩具、木制品、家具、塑料、食品加工、纺织、印染、印刷产品等企业且生产车间员工总人数在100人以上的建筑产权或管理单位。</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3A871EE9">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十、国家和省级科研单位。</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0AC1F25A">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十一、高层公共建筑、地下铁道、地下观光隧道，粮、棉、木材、百货等物资仓库和堆场，重点工程的施工现场：</w:t>
      </w:r>
    </w:p>
    <w:p w14:paraId="388D3220">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（一）高层公共建筑建筑高度在50米以上的办公楼（写字楼）、公寓楼等</w:t>
      </w:r>
      <w:r>
        <w:rPr>
          <w:rFonts w:hint="eastAsia" w:ascii="Times New Roman" w:hAnsi="Times New Roman" w:eastAsia="方正仿宋_GBK" w:cs="Times New Roman"/>
          <w:color w:val="auto"/>
          <w:sz w:val="32"/>
          <w:szCs w:val="32"/>
          <w:lang w:val="en-US" w:eastAsia="zh-CN"/>
        </w:rPr>
        <w:t>。其中，建筑高度在150米以上的为一级消防安全重点单位；其余为二级重点单位。</w:t>
      </w:r>
    </w:p>
    <w:p w14:paraId="16F16A7C">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（二）城市地下铁道、地下观光隧道等地下公共建筑和城市重要的交通隧道</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46E9740C">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（三）国家储备粮库、总储量在10000吨以上的其他粮库</w:t>
      </w:r>
      <w:r>
        <w:rPr>
          <w:rFonts w:hint="eastAsia" w:ascii="Times New Roman" w:hAnsi="Times New Roman" w:eastAsia="方正仿宋_GBK" w:cs="Times New Roman"/>
          <w:color w:val="auto"/>
          <w:sz w:val="32"/>
          <w:szCs w:val="32"/>
          <w:lang w:val="en-US" w:eastAsia="zh-CN"/>
        </w:rPr>
        <w:t>。其中，50000吨以上的为二级消防安全重点单位；其余为三级重点单位。</w:t>
      </w:r>
    </w:p>
    <w:p w14:paraId="6B0EE9AF">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（四）总储量在500吨以上的棉库</w:t>
      </w:r>
      <w:r>
        <w:rPr>
          <w:rFonts w:hint="eastAsia" w:ascii="Times New Roman" w:hAnsi="Times New Roman" w:eastAsia="方正仿宋_GBK" w:cs="Times New Roman"/>
          <w:color w:val="auto"/>
          <w:sz w:val="32"/>
          <w:szCs w:val="32"/>
          <w:lang w:val="en-US" w:eastAsia="zh-CN"/>
        </w:rPr>
        <w:t>。其中，1000吨以上的为二级消防安全重点单位；其余为三级重点单位。</w:t>
      </w:r>
    </w:p>
    <w:p w14:paraId="165C4F3A">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（五）总储量在10000立方米以上的木材堆场</w:t>
      </w:r>
      <w:r>
        <w:rPr>
          <w:rFonts w:hint="eastAsia" w:ascii="Times New Roman" w:hAnsi="Times New Roman" w:eastAsia="方正仿宋_GBK" w:cs="Times New Roman"/>
          <w:color w:val="auto"/>
          <w:sz w:val="32"/>
          <w:szCs w:val="32"/>
          <w:lang w:val="en-US" w:eastAsia="zh-CN"/>
        </w:rPr>
        <w:t>。其中，50000立方米以上的为二级消防安全重点单位；其余为三级重点单位。</w:t>
      </w:r>
    </w:p>
    <w:p w14:paraId="162047FD">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（六）总储存价值在5000万元以上的可燃物品仓库、堆场</w:t>
      </w:r>
      <w:r>
        <w:rPr>
          <w:rFonts w:hint="eastAsia" w:ascii="Times New Roman" w:hAnsi="Times New Roman" w:eastAsia="方正仿宋_GBK" w:cs="Times New Roman"/>
          <w:color w:val="auto"/>
          <w:sz w:val="32"/>
          <w:szCs w:val="32"/>
          <w:lang w:val="en-US" w:eastAsia="zh-CN"/>
        </w:rPr>
        <w:t>。其中，总储存价值在1亿元以上的为二级消防安全重点单位；其余为三级重点单位。</w:t>
      </w:r>
    </w:p>
    <w:p w14:paraId="100D0962">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（七）国家和省级等重点建筑工程的施工现场。</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5A07A113">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十二、锂电池生产、储存单位及电化学储能单位：</w:t>
      </w:r>
    </w:p>
    <w:p w14:paraId="30679D2C">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（一）产能在200MWH及以上的锂电池生产单位</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3231E751">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（二）总储量在30MWH及以上的锂电池储存单位</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034F6083">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（三）功率为30MW且容量为30MW·h及以上的电化学储能电站。</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0548EAEB">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十三、其他业态生产经营场所：</w:t>
      </w:r>
    </w:p>
    <w:p w14:paraId="2F055690">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（一）建筑面积在500平方米以上的剧本杀、密室逃脱等剧本娱乐经营场所</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496BF3B9">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（二）建筑面积在1000平方米以上的室内冰雪活动场所</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5E995116">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（三）住宿床位在50张以上的月子中心等孕婴服务场所</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0D358A73">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（四）存储型物流建筑单体面积在5000平方米以上，作业型物流建筑、综合型物流建筑单体面积在10000平方米以上的企业。</w:t>
      </w:r>
      <w:r>
        <w:rPr>
          <w:rFonts w:hint="eastAsia" w:ascii="Times New Roman" w:hAnsi="Times New Roman" w:eastAsia="方正仿宋_GBK" w:cs="Times New Roman"/>
          <w:color w:val="auto"/>
          <w:sz w:val="32"/>
          <w:szCs w:val="32"/>
          <w:lang w:val="en-US" w:eastAsia="zh-CN"/>
        </w:rPr>
        <w:t>按照属地管理原则，列为二级消防安全重点单位。</w:t>
      </w:r>
    </w:p>
    <w:p w14:paraId="01F9B0C3">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十四、其他发生火灾可能性较大以及一旦发生火灾可能造成人身重大伤亡或者财产重大损失的单位。</w:t>
      </w:r>
    </w:p>
    <w:p w14:paraId="0B594F84">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说明：</w:t>
      </w:r>
    </w:p>
    <w:p w14:paraId="2BAB0483">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1.一个物业小区内有多栋高层公寓等建筑物且同属一个产权单位或物业管理单位的，可视为一个消防安全重点单位。</w:t>
      </w:r>
    </w:p>
    <w:p w14:paraId="7671C8F3">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2.在一个符合界定标准的单位或建筑物内另有符合界定标准而法人不同的单位，可视为不同的消防安全重点单位，法人相同但多家承包、租赁的可视为一个消防安全重点单位。</w:t>
      </w:r>
    </w:p>
    <w:p w14:paraId="3E246449">
      <w:r>
        <w:rPr>
          <w:rFonts w:hint="eastAsia" w:ascii="Times New Roman" w:hAnsi="Times New Roman" w:eastAsia="方正仿宋_GBK" w:cs="Times New Roman"/>
          <w:color w:val="auto"/>
          <w:sz w:val="32"/>
          <w:szCs w:val="32"/>
          <w:lang w:val="en-US" w:eastAsia="zh-CN"/>
        </w:rPr>
        <w:t>3.本标准中所称的“以上”含本数，“以下”不含本数。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4B942E"/>
    <w:multiLevelType w:val="singleLevel"/>
    <w:tmpl w:val="A04B942E"/>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A1465F"/>
    <w:rsid w:val="38A14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2026-03-17T06:56:00Z</dcterms:created>
  <dc:creator>花不生米</dc:creator>
  <cp:lastModifiedBy>花不生米</cp:lastModifiedBy>
  <dcterms:modified xsi:type="dcterms:W3CDTF">2026-03-17T06:57:34Z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8C58BC7BAB764601AC96981C89E2C54B_11</vt:lpwstr>
  </property>
  <property fmtid="{D5CDD505-2E9C-101B-9397-08002B2CF9AE}" pid="4" name="KSOTemplateDocerSaveRecord">
    <vt:lpwstr>eyJoZGlkIjoiMTRlNDM1N2VjMDQxOTMzZmI2MTNmY2M1ZWQwNTk0M2QiLCJ1c2VySWQiOiI1NzA5MDUzOTIifQ==</vt:lpwstr>
  </property>
</Properties>
</file>