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E8454">
      <w:pPr>
        <w:jc w:val="center"/>
        <w:rPr>
          <w:rFonts w:hint="eastAsia" w:asciiTheme="majorEastAsia" w:hAnsiTheme="majorEastAsia" w:eastAsiaTheme="majorEastAsia" w:cstheme="majorEastAsia"/>
          <w:b w:val="0"/>
          <w:bCs w:val="0"/>
          <w:sz w:val="36"/>
          <w:szCs w:val="36"/>
          <w:lang w:val="en-US" w:eastAsia="zh-CN"/>
        </w:rPr>
      </w:pPr>
      <w:r>
        <w:rPr>
          <w:rFonts w:hint="eastAsia" w:asciiTheme="majorEastAsia" w:hAnsiTheme="majorEastAsia" w:eastAsiaTheme="majorEastAsia" w:cstheme="majorEastAsia"/>
          <w:b w:val="0"/>
          <w:bCs w:val="0"/>
          <w:sz w:val="36"/>
          <w:szCs w:val="36"/>
          <w:lang w:val="en-US" w:eastAsia="zh-CN"/>
        </w:rPr>
        <w:t>长葛市2026年第二批财政常态化帮扶资金</w:t>
      </w:r>
    </w:p>
    <w:p w14:paraId="03E6E3E7">
      <w:pPr>
        <w:jc w:val="center"/>
        <w:rPr>
          <w:rFonts w:hint="eastAsia" w:asciiTheme="majorEastAsia" w:hAnsiTheme="majorEastAsia" w:eastAsiaTheme="majorEastAsia" w:cstheme="majorEastAsia"/>
          <w:b w:val="0"/>
          <w:bCs w:val="0"/>
          <w:sz w:val="36"/>
          <w:szCs w:val="36"/>
          <w:lang w:val="en-US" w:eastAsia="zh-CN"/>
        </w:rPr>
      </w:pPr>
      <w:r>
        <w:rPr>
          <w:rFonts w:hint="eastAsia" w:asciiTheme="majorEastAsia" w:hAnsiTheme="majorEastAsia" w:eastAsiaTheme="majorEastAsia" w:cstheme="majorEastAsia"/>
          <w:b w:val="0"/>
          <w:bCs w:val="0"/>
          <w:sz w:val="36"/>
          <w:szCs w:val="36"/>
          <w:lang w:val="en-US" w:eastAsia="zh-CN"/>
        </w:rPr>
        <w:t>实施项目监理单位采购变更公告</w:t>
      </w:r>
    </w:p>
    <w:p w14:paraId="1F57E8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uto"/>
        <w:ind w:left="0" w:right="0" w:firstLine="480"/>
        <w:jc w:val="left"/>
        <w:rPr>
          <w:rFonts w:hint="eastAsia" w:asciiTheme="majorEastAsia" w:hAnsiTheme="majorEastAsia" w:eastAsiaTheme="majorEastAsia" w:cstheme="majorEastAsia"/>
          <w:b/>
          <w:bCs/>
          <w:snapToGrid w:val="0"/>
          <w:color w:val="auto"/>
          <w:spacing w:val="20"/>
          <w:kern w:val="0"/>
          <w:sz w:val="28"/>
          <w:szCs w:val="28"/>
          <w:lang w:val="en-US" w:eastAsia="zh-CN" w:bidi="ar-SA"/>
        </w:rPr>
      </w:pPr>
      <w:r>
        <w:rPr>
          <w:rFonts w:hint="eastAsia" w:asciiTheme="majorEastAsia" w:hAnsiTheme="majorEastAsia" w:eastAsiaTheme="majorEastAsia" w:cstheme="majorEastAsia"/>
          <w:b/>
          <w:bCs/>
          <w:snapToGrid w:val="0"/>
          <w:color w:val="auto"/>
          <w:spacing w:val="20"/>
          <w:kern w:val="0"/>
          <w:sz w:val="28"/>
          <w:szCs w:val="28"/>
          <w:lang w:val="en-US" w:eastAsia="zh-CN" w:bidi="ar-SA"/>
        </w:rPr>
        <w:t>一、项目基本情况</w:t>
      </w:r>
    </w:p>
    <w:p w14:paraId="067F8D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360" w:lineRule="auto"/>
        <w:ind w:left="0" w:right="0" w:firstLine="480"/>
        <w:jc w:val="left"/>
        <w:rPr>
          <w:rFonts w:hint="eastAsia" w:asciiTheme="majorEastAsia" w:hAnsiTheme="majorEastAsia" w:eastAsiaTheme="majorEastAsia" w:cstheme="majorEastAsia"/>
          <w:snapToGrid w:val="0"/>
          <w:color w:val="auto"/>
          <w:spacing w:val="20"/>
          <w:kern w:val="0"/>
          <w:sz w:val="28"/>
          <w:szCs w:val="28"/>
          <w:lang w:val="en-US" w:eastAsia="zh-CN" w:bidi="ar-SA"/>
        </w:rPr>
      </w:pPr>
      <w:r>
        <w:rPr>
          <w:rFonts w:hint="eastAsia" w:asciiTheme="majorEastAsia" w:hAnsiTheme="majorEastAsia" w:eastAsiaTheme="majorEastAsia" w:cstheme="majorEastAsia"/>
          <w:snapToGrid w:val="0"/>
          <w:color w:val="auto"/>
          <w:spacing w:val="20"/>
          <w:kern w:val="0"/>
          <w:sz w:val="28"/>
          <w:szCs w:val="28"/>
          <w:lang w:val="en-US" w:eastAsia="zh-CN" w:bidi="ar-SA"/>
        </w:rPr>
        <w:t>长葛市2026年第二批财政常态化帮扶资金实施项目，经报市委农村工作领导小组研究同意，共批复实施乡村建设行动项目27个，计划总投资1889.38万元，项目建设内容为全市11个镇27个行政村新修村组道路、混凝土排水沟及雨污管网建设项目。</w:t>
      </w:r>
    </w:p>
    <w:p w14:paraId="2A11068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640"/>
        <w:jc w:val="left"/>
        <w:rPr>
          <w:rFonts w:hint="eastAsia" w:asciiTheme="majorEastAsia" w:hAnsiTheme="majorEastAsia" w:eastAsiaTheme="majorEastAsia" w:cstheme="majorEastAsia"/>
          <w:snapToGrid w:val="0"/>
          <w:color w:val="auto"/>
          <w:spacing w:val="20"/>
          <w:kern w:val="0"/>
          <w:sz w:val="28"/>
          <w:szCs w:val="28"/>
          <w:lang w:val="en-US" w:eastAsia="zh-CN" w:bidi="ar-SA"/>
        </w:rPr>
      </w:pPr>
      <w:r>
        <w:rPr>
          <w:rFonts w:hint="eastAsia" w:asciiTheme="majorEastAsia" w:hAnsiTheme="majorEastAsia" w:eastAsiaTheme="majorEastAsia" w:cstheme="majorEastAsia"/>
          <w:snapToGrid w:val="0"/>
          <w:color w:val="auto"/>
          <w:spacing w:val="20"/>
          <w:kern w:val="0"/>
          <w:sz w:val="28"/>
          <w:szCs w:val="28"/>
          <w:lang w:val="en-US" w:eastAsia="zh-CN" w:bidi="ar-SA"/>
        </w:rPr>
        <w:t>本批项目已发布招标公告，开标时间为</w:t>
      </w:r>
      <w:r>
        <w:rPr>
          <w:rFonts w:hint="eastAsia" w:asciiTheme="majorEastAsia" w:hAnsiTheme="majorEastAsia" w:eastAsiaTheme="majorEastAsia" w:cstheme="majorEastAsia"/>
          <w:snapToGrid w:val="0"/>
          <w:color w:val="0000FF"/>
          <w:spacing w:val="20"/>
          <w:kern w:val="0"/>
          <w:sz w:val="28"/>
          <w:szCs w:val="28"/>
          <w:lang w:val="en-US" w:eastAsia="zh-CN" w:bidi="ar-SA"/>
        </w:rPr>
        <w:t>2026年9月18日</w:t>
      </w:r>
      <w:r>
        <w:rPr>
          <w:rFonts w:hint="eastAsia" w:asciiTheme="majorEastAsia" w:hAnsiTheme="majorEastAsia" w:eastAsiaTheme="majorEastAsia" w:cstheme="majorEastAsia"/>
          <w:snapToGrid w:val="0"/>
          <w:color w:val="auto"/>
          <w:spacing w:val="20"/>
          <w:kern w:val="0"/>
          <w:sz w:val="28"/>
          <w:szCs w:val="28"/>
          <w:lang w:val="en-US" w:eastAsia="zh-CN" w:bidi="ar-SA"/>
        </w:rPr>
        <w:t>，为加快项目建设进度，确保项目质量，经农业农村局班子研究，本批项目共划分一个监理标段，由农业农村局采购工作领导小组决定</w:t>
      </w:r>
      <w:r>
        <w:rPr>
          <w:rFonts w:hint="eastAsia" w:ascii="宋体" w:hAnsi="宋体"/>
          <w:snapToGrid w:val="0"/>
          <w:color w:val="auto"/>
          <w:spacing w:val="20"/>
          <w:kern w:val="0"/>
          <w:sz w:val="28"/>
          <w:szCs w:val="28"/>
          <w:lang w:val="en-US" w:eastAsia="zh-CN"/>
        </w:rPr>
        <w:t>现</w:t>
      </w:r>
      <w:r>
        <w:rPr>
          <w:rFonts w:hint="eastAsia" w:ascii="宋体" w:hAnsi="宋体"/>
          <w:snapToGrid w:val="0"/>
          <w:color w:val="auto"/>
          <w:spacing w:val="20"/>
          <w:kern w:val="0"/>
          <w:sz w:val="28"/>
          <w:szCs w:val="28"/>
        </w:rPr>
        <w:t>向社会公开遴选</w:t>
      </w:r>
      <w:r>
        <w:rPr>
          <w:rFonts w:hint="eastAsia" w:ascii="宋体" w:hAnsi="宋体"/>
          <w:snapToGrid w:val="0"/>
          <w:color w:val="auto"/>
          <w:spacing w:val="20"/>
          <w:kern w:val="0"/>
          <w:sz w:val="28"/>
          <w:szCs w:val="28"/>
          <w:lang w:val="en-US" w:eastAsia="zh-CN"/>
        </w:rPr>
        <w:t>供应商，相关事项公告如下</w:t>
      </w:r>
      <w:r>
        <w:rPr>
          <w:rFonts w:hint="eastAsia" w:asciiTheme="majorEastAsia" w:hAnsiTheme="majorEastAsia" w:eastAsiaTheme="majorEastAsia" w:cstheme="majorEastAsia"/>
          <w:snapToGrid w:val="0"/>
          <w:color w:val="auto"/>
          <w:spacing w:val="20"/>
          <w:kern w:val="0"/>
          <w:sz w:val="28"/>
          <w:szCs w:val="28"/>
          <w:lang w:val="en-US" w:eastAsia="zh-CN" w:bidi="ar-SA"/>
        </w:rPr>
        <w:t>。</w:t>
      </w:r>
    </w:p>
    <w:p w14:paraId="11CB86E5">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Theme="majorEastAsia" w:hAnsiTheme="majorEastAsia" w:eastAsiaTheme="majorEastAsia" w:cstheme="majorEastAsia"/>
          <w:b/>
          <w:bCs/>
          <w:snapToGrid w:val="0"/>
          <w:color w:val="auto"/>
          <w:spacing w:val="20"/>
          <w:kern w:val="0"/>
          <w:sz w:val="28"/>
          <w:szCs w:val="28"/>
        </w:rPr>
      </w:pPr>
      <w:r>
        <w:rPr>
          <w:rFonts w:hint="eastAsia" w:asciiTheme="majorEastAsia" w:hAnsiTheme="majorEastAsia" w:eastAsiaTheme="majorEastAsia" w:cstheme="majorEastAsia"/>
          <w:i w:val="0"/>
          <w:iCs w:val="0"/>
          <w:caps w:val="0"/>
          <w:color w:val="000000"/>
          <w:spacing w:val="0"/>
          <w:kern w:val="0"/>
          <w:sz w:val="32"/>
          <w:szCs w:val="32"/>
          <w:u w:val="none"/>
          <w:shd w:val="clear" w:fill="FFFFFF"/>
          <w:lang w:val="en-US" w:eastAsia="zh-CN" w:bidi="ar"/>
        </w:rPr>
        <w:t>二、</w:t>
      </w:r>
      <w:r>
        <w:rPr>
          <w:rFonts w:hint="eastAsia" w:asciiTheme="majorEastAsia" w:hAnsiTheme="majorEastAsia" w:eastAsiaTheme="majorEastAsia" w:cstheme="majorEastAsia"/>
          <w:b/>
          <w:bCs/>
          <w:snapToGrid w:val="0"/>
          <w:color w:val="auto"/>
          <w:spacing w:val="20"/>
          <w:kern w:val="0"/>
          <w:sz w:val="28"/>
          <w:szCs w:val="28"/>
        </w:rPr>
        <w:t>资格条件</w:t>
      </w:r>
    </w:p>
    <w:p w14:paraId="4272F586">
      <w:pPr>
        <w:keepNext w:val="0"/>
        <w:keepLines w:val="0"/>
        <w:pageBreakBefore w:val="0"/>
        <w:kinsoku/>
        <w:wordWrap/>
        <w:overflowPunct/>
        <w:topLinePunct w:val="0"/>
        <w:autoSpaceDE/>
        <w:autoSpaceDN/>
        <w:bidi w:val="0"/>
        <w:adjustRightInd w:val="0"/>
        <w:snapToGrid w:val="0"/>
        <w:spacing w:line="360" w:lineRule="auto"/>
        <w:ind w:firstLine="720" w:firstLineChars="225"/>
        <w:textAlignment w:val="auto"/>
        <w:rPr>
          <w:rFonts w:hint="eastAsia" w:asciiTheme="majorEastAsia" w:hAnsiTheme="majorEastAsia" w:eastAsiaTheme="majorEastAsia" w:cstheme="majorEastAsia"/>
          <w:snapToGrid w:val="0"/>
          <w:color w:val="auto"/>
          <w:spacing w:val="20"/>
          <w:kern w:val="0"/>
          <w:sz w:val="28"/>
          <w:szCs w:val="28"/>
        </w:rPr>
      </w:pPr>
      <w:r>
        <w:rPr>
          <w:rFonts w:hint="eastAsia" w:asciiTheme="majorEastAsia" w:hAnsiTheme="majorEastAsia" w:eastAsiaTheme="majorEastAsia" w:cstheme="majorEastAsia"/>
          <w:snapToGrid w:val="0"/>
          <w:color w:val="auto"/>
          <w:spacing w:val="20"/>
          <w:kern w:val="0"/>
          <w:sz w:val="28"/>
          <w:szCs w:val="28"/>
          <w:lang w:val="en-US" w:eastAsia="zh-CN"/>
        </w:rPr>
        <w:t>2</w:t>
      </w:r>
      <w:r>
        <w:rPr>
          <w:rFonts w:hint="eastAsia" w:asciiTheme="majorEastAsia" w:hAnsiTheme="majorEastAsia" w:eastAsiaTheme="majorEastAsia" w:cstheme="majorEastAsia"/>
          <w:snapToGrid w:val="0"/>
          <w:color w:val="auto"/>
          <w:spacing w:val="20"/>
          <w:kern w:val="0"/>
          <w:sz w:val="28"/>
          <w:szCs w:val="28"/>
        </w:rPr>
        <w:t>.1符合《政府采购法》第二十二条之规定。</w:t>
      </w:r>
    </w:p>
    <w:p w14:paraId="1CA2D994">
      <w:pPr>
        <w:keepNext w:val="0"/>
        <w:keepLines w:val="0"/>
        <w:pageBreakBefore w:val="0"/>
        <w:kinsoku/>
        <w:wordWrap/>
        <w:overflowPunct/>
        <w:topLinePunct w:val="0"/>
        <w:autoSpaceDE/>
        <w:autoSpaceDN/>
        <w:bidi w:val="0"/>
        <w:adjustRightInd w:val="0"/>
        <w:snapToGrid w:val="0"/>
        <w:spacing w:line="360" w:lineRule="auto"/>
        <w:ind w:firstLine="720" w:firstLineChars="225"/>
        <w:textAlignment w:val="auto"/>
        <w:rPr>
          <w:rFonts w:hint="eastAsia" w:asciiTheme="majorEastAsia" w:hAnsiTheme="majorEastAsia" w:eastAsiaTheme="majorEastAsia" w:cstheme="majorEastAsia"/>
          <w:snapToGrid w:val="0"/>
          <w:color w:val="auto"/>
          <w:spacing w:val="20"/>
          <w:kern w:val="0"/>
          <w:sz w:val="28"/>
          <w:szCs w:val="28"/>
          <w:lang w:val="en-US" w:eastAsia="zh-CN" w:bidi="ar-SA"/>
        </w:rPr>
      </w:pPr>
      <w:r>
        <w:rPr>
          <w:rFonts w:hint="eastAsia" w:asciiTheme="majorEastAsia" w:hAnsiTheme="majorEastAsia" w:eastAsiaTheme="majorEastAsia" w:cstheme="majorEastAsia"/>
          <w:snapToGrid w:val="0"/>
          <w:color w:val="auto"/>
          <w:spacing w:val="20"/>
          <w:kern w:val="0"/>
          <w:sz w:val="28"/>
          <w:szCs w:val="28"/>
          <w:lang w:val="en-US" w:eastAsia="zh-CN" w:bidi="ar-SA"/>
        </w:rPr>
        <w:t>2.2供应商的特殊资格要求：供应商具有建设行政主管部门颁发的工程监理综合资质或房屋建筑工程监理丙级及以上资质。拟派项目总监理工程师须具有建筑工程专业注册监理工程师执业资格。项目总监理工程师无正当理由不得更换。</w:t>
      </w:r>
    </w:p>
    <w:p w14:paraId="763AAF33">
      <w:pPr>
        <w:keepNext w:val="0"/>
        <w:keepLines w:val="0"/>
        <w:pageBreakBefore w:val="0"/>
        <w:kinsoku/>
        <w:wordWrap/>
        <w:overflowPunct/>
        <w:topLinePunct w:val="0"/>
        <w:autoSpaceDE/>
        <w:autoSpaceDN/>
        <w:bidi w:val="0"/>
        <w:adjustRightInd w:val="0"/>
        <w:snapToGrid w:val="0"/>
        <w:spacing w:line="360" w:lineRule="auto"/>
        <w:ind w:firstLine="720" w:firstLineChars="225"/>
        <w:jc w:val="left"/>
        <w:textAlignment w:val="auto"/>
        <w:rPr>
          <w:rFonts w:hint="eastAsia" w:asciiTheme="majorEastAsia" w:hAnsiTheme="majorEastAsia" w:eastAsiaTheme="majorEastAsia" w:cstheme="majorEastAsia"/>
          <w:snapToGrid w:val="0"/>
          <w:color w:val="auto"/>
          <w:spacing w:val="20"/>
          <w:kern w:val="0"/>
          <w:sz w:val="28"/>
          <w:szCs w:val="28"/>
        </w:rPr>
      </w:pPr>
      <w:r>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rPr>
        <w:t>2</w:t>
      </w:r>
      <w:r>
        <w:rPr>
          <w:rFonts w:hint="eastAsia" w:asciiTheme="majorEastAsia" w:hAnsiTheme="majorEastAsia" w:eastAsiaTheme="majorEastAsia" w:cstheme="majorEastAsia"/>
          <w:snapToGrid w:val="0"/>
          <w:color w:val="auto"/>
          <w:spacing w:val="20"/>
          <w:kern w:val="0"/>
          <w:sz w:val="28"/>
          <w:szCs w:val="28"/>
          <w:shd w:val="clear" w:color="auto" w:fill="FFFFFF"/>
        </w:rPr>
        <w:t>.</w:t>
      </w:r>
      <w:r>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rPr>
        <w:t>3</w:t>
      </w:r>
      <w:r>
        <w:rPr>
          <w:rFonts w:hint="eastAsia" w:asciiTheme="majorEastAsia" w:hAnsiTheme="majorEastAsia" w:eastAsiaTheme="majorEastAsia" w:cstheme="majorEastAsia"/>
          <w:snapToGrid w:val="0"/>
          <w:color w:val="auto"/>
          <w:spacing w:val="20"/>
          <w:kern w:val="0"/>
          <w:sz w:val="28"/>
          <w:szCs w:val="28"/>
          <w:shd w:val="clear" w:color="auto" w:fill="FFFFFF"/>
        </w:rPr>
        <w:t>未被列入“信用中国”网站(www.creditchina.gov.cn)失信被执行人、重大税收违法案件当事人名单；“中国政府采购网” (www.ccgp.gov.cn)网站的政府采购严重违法失信行为记录名单的供应商；</w:t>
      </w:r>
      <w:bookmarkStart w:id="0" w:name="_Hlk19888477"/>
      <w:r>
        <w:rPr>
          <w:rFonts w:hint="eastAsia" w:asciiTheme="majorEastAsia" w:hAnsiTheme="majorEastAsia" w:eastAsiaTheme="majorEastAsia" w:cstheme="majorEastAsia"/>
          <w:snapToGrid w:val="0"/>
          <w:color w:val="auto"/>
          <w:spacing w:val="20"/>
          <w:kern w:val="0"/>
          <w:sz w:val="28"/>
          <w:szCs w:val="28"/>
          <w:shd w:val="clear" w:color="auto" w:fill="FFFFFF"/>
        </w:rPr>
        <w:t>“中国社会组织公共服务平台”网站（www.chinanpo.gov.cn）严重违法失信名单的供应商</w:t>
      </w:r>
      <w:bookmarkEnd w:id="0"/>
      <w:r>
        <w:rPr>
          <w:rFonts w:hint="eastAsia" w:asciiTheme="majorEastAsia" w:hAnsiTheme="majorEastAsia" w:eastAsiaTheme="majorEastAsia" w:cstheme="majorEastAsia"/>
          <w:snapToGrid w:val="0"/>
          <w:color w:val="auto"/>
          <w:spacing w:val="20"/>
          <w:kern w:val="0"/>
          <w:sz w:val="28"/>
          <w:szCs w:val="28"/>
          <w:shd w:val="clear" w:color="auto" w:fill="FFFFFF"/>
        </w:rPr>
        <w:t>。</w:t>
      </w:r>
    </w:p>
    <w:p w14:paraId="768AFB2B">
      <w:pPr>
        <w:keepNext w:val="0"/>
        <w:keepLines w:val="0"/>
        <w:pageBreakBefore w:val="0"/>
        <w:kinsoku/>
        <w:wordWrap/>
        <w:overflowPunct/>
        <w:topLinePunct w:val="0"/>
        <w:autoSpaceDE/>
        <w:autoSpaceDN/>
        <w:bidi w:val="0"/>
        <w:adjustRightInd w:val="0"/>
        <w:snapToGrid w:val="0"/>
        <w:spacing w:line="360" w:lineRule="auto"/>
        <w:ind w:firstLine="720" w:firstLineChars="225"/>
        <w:jc w:val="left"/>
        <w:textAlignment w:val="auto"/>
        <w:rPr>
          <w:rFonts w:hint="eastAsia" w:asciiTheme="majorEastAsia" w:hAnsiTheme="majorEastAsia" w:eastAsiaTheme="majorEastAsia" w:cstheme="majorEastAsia"/>
          <w:snapToGrid w:val="0"/>
          <w:color w:val="auto"/>
          <w:spacing w:val="20"/>
          <w:kern w:val="0"/>
          <w:sz w:val="28"/>
          <w:szCs w:val="28"/>
        </w:rPr>
      </w:pPr>
      <w:r>
        <w:rPr>
          <w:rFonts w:hint="eastAsia" w:asciiTheme="majorEastAsia" w:hAnsiTheme="majorEastAsia" w:eastAsiaTheme="majorEastAsia" w:cstheme="majorEastAsia"/>
          <w:snapToGrid w:val="0"/>
          <w:color w:val="auto"/>
          <w:spacing w:val="20"/>
          <w:kern w:val="0"/>
          <w:sz w:val="28"/>
          <w:szCs w:val="28"/>
          <w:lang w:val="en-US" w:eastAsia="zh-CN"/>
        </w:rPr>
        <w:t>2</w:t>
      </w:r>
      <w:r>
        <w:rPr>
          <w:rFonts w:hint="eastAsia" w:asciiTheme="majorEastAsia" w:hAnsiTheme="majorEastAsia" w:eastAsiaTheme="majorEastAsia" w:cstheme="majorEastAsia"/>
          <w:snapToGrid w:val="0"/>
          <w:color w:val="auto"/>
          <w:spacing w:val="20"/>
          <w:kern w:val="0"/>
          <w:sz w:val="28"/>
          <w:szCs w:val="28"/>
        </w:rPr>
        <w:t>.</w:t>
      </w:r>
      <w:r>
        <w:rPr>
          <w:rFonts w:hint="eastAsia" w:asciiTheme="majorEastAsia" w:hAnsiTheme="majorEastAsia" w:eastAsiaTheme="majorEastAsia" w:cstheme="majorEastAsia"/>
          <w:snapToGrid w:val="0"/>
          <w:color w:val="auto"/>
          <w:spacing w:val="20"/>
          <w:kern w:val="0"/>
          <w:sz w:val="28"/>
          <w:szCs w:val="28"/>
          <w:lang w:val="en-US" w:eastAsia="zh-CN"/>
        </w:rPr>
        <w:t>4</w:t>
      </w:r>
      <w:r>
        <w:rPr>
          <w:rFonts w:hint="eastAsia" w:asciiTheme="majorEastAsia" w:hAnsiTheme="majorEastAsia" w:eastAsiaTheme="majorEastAsia" w:cstheme="majorEastAsia"/>
          <w:snapToGrid w:val="0"/>
          <w:color w:val="auto"/>
          <w:spacing w:val="20"/>
          <w:kern w:val="0"/>
          <w:sz w:val="28"/>
          <w:szCs w:val="28"/>
        </w:rPr>
        <w:t>本项目不接受联合体</w:t>
      </w:r>
      <w:r>
        <w:rPr>
          <w:rFonts w:hint="eastAsia" w:asciiTheme="majorEastAsia" w:hAnsiTheme="majorEastAsia" w:eastAsiaTheme="majorEastAsia" w:cstheme="majorEastAsia"/>
          <w:snapToGrid w:val="0"/>
          <w:color w:val="auto"/>
          <w:spacing w:val="20"/>
          <w:kern w:val="0"/>
          <w:sz w:val="28"/>
          <w:szCs w:val="28"/>
          <w:lang w:val="en-US" w:eastAsia="zh-CN"/>
        </w:rPr>
        <w:t>参与</w:t>
      </w:r>
      <w:r>
        <w:rPr>
          <w:rFonts w:hint="eastAsia" w:asciiTheme="majorEastAsia" w:hAnsiTheme="majorEastAsia" w:eastAsiaTheme="majorEastAsia" w:cstheme="majorEastAsia"/>
          <w:snapToGrid w:val="0"/>
          <w:color w:val="auto"/>
          <w:spacing w:val="20"/>
          <w:kern w:val="0"/>
          <w:sz w:val="28"/>
          <w:szCs w:val="28"/>
        </w:rPr>
        <w:t>。</w:t>
      </w:r>
    </w:p>
    <w:p w14:paraId="12161869">
      <w:pPr>
        <w:keepNext w:val="0"/>
        <w:keepLines w:val="0"/>
        <w:pageBreakBefore w:val="0"/>
        <w:kinsoku/>
        <w:wordWrap/>
        <w:overflowPunct/>
        <w:topLinePunct w:val="0"/>
        <w:autoSpaceDE/>
        <w:autoSpaceDN/>
        <w:bidi w:val="0"/>
        <w:adjustRightInd w:val="0"/>
        <w:snapToGrid w:val="0"/>
        <w:spacing w:line="360" w:lineRule="auto"/>
        <w:ind w:firstLine="321" w:firstLineChars="100"/>
        <w:textAlignment w:val="auto"/>
        <w:rPr>
          <w:rFonts w:hint="eastAsia" w:asciiTheme="majorEastAsia" w:hAnsiTheme="majorEastAsia" w:eastAsiaTheme="majorEastAsia" w:cstheme="majorEastAsia"/>
          <w:b/>
          <w:bCs/>
          <w:snapToGrid w:val="0"/>
          <w:color w:val="auto"/>
          <w:spacing w:val="20"/>
          <w:kern w:val="0"/>
          <w:sz w:val="28"/>
          <w:szCs w:val="28"/>
          <w:lang w:val="en-US" w:eastAsia="zh-CN"/>
        </w:rPr>
      </w:pPr>
      <w:r>
        <w:rPr>
          <w:rFonts w:hint="eastAsia" w:asciiTheme="majorEastAsia" w:hAnsiTheme="majorEastAsia" w:eastAsiaTheme="majorEastAsia" w:cstheme="majorEastAsia"/>
          <w:b/>
          <w:bCs/>
          <w:snapToGrid w:val="0"/>
          <w:color w:val="auto"/>
          <w:spacing w:val="20"/>
          <w:kern w:val="0"/>
          <w:sz w:val="28"/>
          <w:szCs w:val="28"/>
          <w:lang w:val="en-US" w:eastAsia="zh-CN"/>
        </w:rPr>
        <w:t>三、供应商参与遴选需提供的资料</w:t>
      </w:r>
    </w:p>
    <w:p w14:paraId="5400B59C">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2"/>
        <w:contextualSpacing/>
        <w:jc w:val="both"/>
        <w:textAlignment w:val="auto"/>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pPr>
      <w:r>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t>3.1有效的营业执照副本</w:t>
      </w:r>
    </w:p>
    <w:p w14:paraId="23BFE803">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2"/>
        <w:contextualSpacing/>
        <w:jc w:val="both"/>
        <w:textAlignment w:val="auto"/>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pPr>
      <w:r>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t>3.2资质证书（如有）</w:t>
      </w:r>
    </w:p>
    <w:p w14:paraId="449CBD9B">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2"/>
        <w:contextualSpacing/>
        <w:jc w:val="both"/>
        <w:textAlignment w:val="auto"/>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pPr>
      <w:r>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t>3.3法人代表身份证明（或附有法人代表证明的授权委托书）</w:t>
      </w:r>
    </w:p>
    <w:p w14:paraId="3D271EAD">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0"/>
        <w:jc w:val="both"/>
        <w:textAlignment w:val="auto"/>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pPr>
      <w:r>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t>3.4项目组成人员</w:t>
      </w:r>
    </w:p>
    <w:p w14:paraId="600E3C60">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0"/>
        <w:jc w:val="both"/>
        <w:textAlignment w:val="auto"/>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pPr>
      <w:r>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t>3.5类似项目业绩（如有）</w:t>
      </w:r>
    </w:p>
    <w:p w14:paraId="5CA0DDB9">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0"/>
        <w:jc w:val="both"/>
        <w:textAlignment w:val="auto"/>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pPr>
      <w:r>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t>3.6信用查询记录</w:t>
      </w:r>
    </w:p>
    <w:p w14:paraId="5A03436F">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0"/>
        <w:jc w:val="both"/>
        <w:textAlignment w:val="auto"/>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pPr>
      <w:r>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t>3.7荣誉证明材料</w:t>
      </w:r>
    </w:p>
    <w:p w14:paraId="4B99F732">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0"/>
        <w:jc w:val="both"/>
        <w:textAlignment w:val="auto"/>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pPr>
      <w:r>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t>3.8符合</w:t>
      </w:r>
      <w:r>
        <w:rPr>
          <w:rFonts w:hint="eastAsia" w:asciiTheme="majorEastAsia" w:hAnsiTheme="majorEastAsia" w:eastAsiaTheme="majorEastAsia" w:cstheme="majorEastAsia"/>
          <w:snapToGrid w:val="0"/>
          <w:color w:val="auto"/>
          <w:spacing w:val="20"/>
          <w:kern w:val="0"/>
          <w:sz w:val="28"/>
          <w:szCs w:val="28"/>
          <w:lang w:val="en-US" w:eastAsia="zh-CN" w:bidi="ar-SA"/>
        </w:rPr>
        <w:t>《政府采购法》第二十二条之规定的承诺函</w:t>
      </w:r>
    </w:p>
    <w:p w14:paraId="680523E4">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0"/>
        <w:jc w:val="both"/>
        <w:textAlignment w:val="auto"/>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pPr>
      <w:r>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t>3.9供应商认为应该提供的其他资料</w:t>
      </w:r>
    </w:p>
    <w:p w14:paraId="09CC9944">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0"/>
        <w:jc w:val="both"/>
        <w:textAlignment w:val="auto"/>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pPr>
      <w:r>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t>以上资料供应商需采用胶粘方式装订，不得采用活页夹等可随时拆换的方式装订。</w:t>
      </w:r>
    </w:p>
    <w:p w14:paraId="7DB26029">
      <w:pPr>
        <w:keepNext w:val="0"/>
        <w:keepLines w:val="0"/>
        <w:pageBreakBefore w:val="0"/>
        <w:kinsoku/>
        <w:wordWrap/>
        <w:overflowPunct/>
        <w:topLinePunct w:val="0"/>
        <w:autoSpaceDE/>
        <w:autoSpaceDN/>
        <w:bidi w:val="0"/>
        <w:adjustRightInd w:val="0"/>
        <w:snapToGrid w:val="0"/>
        <w:spacing w:line="360" w:lineRule="auto"/>
        <w:ind w:firstLine="642" w:firstLineChars="200"/>
        <w:textAlignment w:val="auto"/>
        <w:rPr>
          <w:rFonts w:hint="eastAsia" w:asciiTheme="majorEastAsia" w:hAnsiTheme="majorEastAsia" w:eastAsiaTheme="majorEastAsia" w:cstheme="majorEastAsia"/>
          <w:b/>
          <w:bCs/>
          <w:snapToGrid w:val="0"/>
          <w:color w:val="auto"/>
          <w:spacing w:val="20"/>
          <w:kern w:val="0"/>
          <w:sz w:val="28"/>
          <w:szCs w:val="28"/>
        </w:rPr>
      </w:pPr>
      <w:r>
        <w:rPr>
          <w:rFonts w:hint="eastAsia" w:asciiTheme="majorEastAsia" w:hAnsiTheme="majorEastAsia" w:eastAsiaTheme="majorEastAsia" w:cstheme="majorEastAsia"/>
          <w:b/>
          <w:bCs/>
          <w:snapToGrid w:val="0"/>
          <w:color w:val="auto"/>
          <w:spacing w:val="20"/>
          <w:kern w:val="0"/>
          <w:sz w:val="28"/>
          <w:szCs w:val="28"/>
          <w:lang w:val="en-US" w:eastAsia="zh-CN"/>
        </w:rPr>
        <w:t>四、</w:t>
      </w:r>
      <w:r>
        <w:rPr>
          <w:rFonts w:hint="eastAsia" w:asciiTheme="majorEastAsia" w:hAnsiTheme="majorEastAsia" w:eastAsiaTheme="majorEastAsia" w:cstheme="majorEastAsia"/>
          <w:b/>
          <w:bCs/>
          <w:snapToGrid w:val="0"/>
          <w:color w:val="auto"/>
          <w:spacing w:val="20"/>
          <w:kern w:val="0"/>
          <w:sz w:val="28"/>
          <w:szCs w:val="28"/>
          <w:lang w:eastAsia="zh-CN"/>
        </w:rPr>
        <w:t>响应文件</w:t>
      </w:r>
      <w:r>
        <w:rPr>
          <w:rFonts w:hint="eastAsia" w:asciiTheme="majorEastAsia" w:hAnsiTheme="majorEastAsia" w:eastAsiaTheme="majorEastAsia" w:cstheme="majorEastAsia"/>
          <w:b/>
          <w:bCs/>
          <w:snapToGrid w:val="0"/>
          <w:color w:val="auto"/>
          <w:spacing w:val="20"/>
          <w:kern w:val="0"/>
          <w:sz w:val="28"/>
          <w:szCs w:val="28"/>
        </w:rPr>
        <w:t>的递交</w:t>
      </w:r>
    </w:p>
    <w:p w14:paraId="4310FEF8">
      <w:pPr>
        <w:keepNext w:val="0"/>
        <w:keepLines w:val="0"/>
        <w:pageBreakBefore w:val="0"/>
        <w:kinsoku/>
        <w:wordWrap/>
        <w:overflowPunct/>
        <w:topLinePunct w:val="0"/>
        <w:autoSpaceDE/>
        <w:autoSpaceDN/>
        <w:bidi w:val="0"/>
        <w:adjustRightInd w:val="0"/>
        <w:snapToGrid w:val="0"/>
        <w:spacing w:line="360" w:lineRule="auto"/>
        <w:ind w:left="120" w:leftChars="57" w:firstLine="480" w:firstLineChars="150"/>
        <w:textAlignment w:val="auto"/>
        <w:rPr>
          <w:rFonts w:hint="eastAsia" w:asciiTheme="majorEastAsia" w:hAnsiTheme="majorEastAsia" w:eastAsiaTheme="majorEastAsia" w:cstheme="majorEastAsia"/>
          <w:snapToGrid w:val="0"/>
          <w:color w:val="auto"/>
          <w:spacing w:val="20"/>
          <w:kern w:val="0"/>
          <w:sz w:val="28"/>
          <w:szCs w:val="28"/>
          <w:lang w:eastAsia="zh-CN"/>
        </w:rPr>
      </w:pPr>
      <w:r>
        <w:rPr>
          <w:rFonts w:hint="eastAsia" w:asciiTheme="majorEastAsia" w:hAnsiTheme="majorEastAsia" w:eastAsiaTheme="majorEastAsia" w:cstheme="majorEastAsia"/>
          <w:snapToGrid w:val="0"/>
          <w:color w:val="auto"/>
          <w:spacing w:val="20"/>
          <w:kern w:val="0"/>
          <w:sz w:val="28"/>
          <w:szCs w:val="28"/>
          <w:lang w:val="en-US" w:eastAsia="zh-CN"/>
        </w:rPr>
        <w:t>4</w:t>
      </w:r>
      <w:r>
        <w:rPr>
          <w:rFonts w:hint="eastAsia" w:asciiTheme="majorEastAsia" w:hAnsiTheme="majorEastAsia" w:eastAsiaTheme="majorEastAsia" w:cstheme="majorEastAsia"/>
          <w:snapToGrid w:val="0"/>
          <w:color w:val="auto"/>
          <w:spacing w:val="20"/>
          <w:kern w:val="0"/>
          <w:sz w:val="28"/>
          <w:szCs w:val="28"/>
        </w:rPr>
        <w:t xml:space="preserve">.1 </w:t>
      </w:r>
      <w:r>
        <w:rPr>
          <w:rFonts w:hint="eastAsia" w:asciiTheme="majorEastAsia" w:hAnsiTheme="majorEastAsia" w:eastAsiaTheme="majorEastAsia" w:cstheme="majorEastAsia"/>
          <w:snapToGrid w:val="0"/>
          <w:color w:val="auto"/>
          <w:spacing w:val="20"/>
          <w:kern w:val="0"/>
          <w:sz w:val="28"/>
          <w:szCs w:val="28"/>
          <w:lang w:val="en-US" w:eastAsia="zh-CN"/>
        </w:rPr>
        <w:t>响应</w:t>
      </w:r>
      <w:r>
        <w:rPr>
          <w:rFonts w:hint="eastAsia" w:asciiTheme="majorEastAsia" w:hAnsiTheme="majorEastAsia" w:eastAsiaTheme="majorEastAsia" w:cstheme="majorEastAsia"/>
          <w:snapToGrid w:val="0"/>
          <w:color w:val="auto"/>
          <w:spacing w:val="20"/>
          <w:kern w:val="0"/>
          <w:sz w:val="28"/>
          <w:szCs w:val="28"/>
        </w:rPr>
        <w:t>文件递交的截止时间</w:t>
      </w:r>
      <w:r>
        <w:rPr>
          <w:rFonts w:hint="eastAsia" w:asciiTheme="majorEastAsia" w:hAnsiTheme="majorEastAsia" w:eastAsiaTheme="majorEastAsia" w:cstheme="majorEastAsia"/>
          <w:snapToGrid w:val="0"/>
          <w:color w:val="0000FF"/>
          <w:spacing w:val="20"/>
          <w:kern w:val="0"/>
          <w:sz w:val="28"/>
          <w:szCs w:val="28"/>
        </w:rPr>
        <w:t>202</w:t>
      </w:r>
      <w:r>
        <w:rPr>
          <w:rFonts w:hint="eastAsia" w:asciiTheme="majorEastAsia" w:hAnsiTheme="majorEastAsia" w:eastAsiaTheme="majorEastAsia" w:cstheme="majorEastAsia"/>
          <w:snapToGrid w:val="0"/>
          <w:color w:val="0000FF"/>
          <w:spacing w:val="20"/>
          <w:kern w:val="0"/>
          <w:sz w:val="28"/>
          <w:szCs w:val="28"/>
          <w:lang w:val="en-US" w:eastAsia="zh-CN"/>
        </w:rPr>
        <w:t>6</w:t>
      </w:r>
      <w:r>
        <w:rPr>
          <w:rFonts w:hint="eastAsia" w:asciiTheme="majorEastAsia" w:hAnsiTheme="majorEastAsia" w:eastAsiaTheme="majorEastAsia" w:cstheme="majorEastAsia"/>
          <w:snapToGrid w:val="0"/>
          <w:color w:val="0000FF"/>
          <w:spacing w:val="20"/>
          <w:kern w:val="0"/>
          <w:sz w:val="28"/>
          <w:szCs w:val="28"/>
        </w:rPr>
        <w:t>年</w:t>
      </w:r>
      <w:r>
        <w:rPr>
          <w:rFonts w:hint="eastAsia" w:asciiTheme="majorEastAsia" w:hAnsiTheme="majorEastAsia" w:eastAsiaTheme="majorEastAsia" w:cstheme="majorEastAsia"/>
          <w:snapToGrid w:val="0"/>
          <w:color w:val="0000FF"/>
          <w:spacing w:val="20"/>
          <w:kern w:val="0"/>
          <w:sz w:val="28"/>
          <w:szCs w:val="28"/>
          <w:lang w:val="en-US" w:eastAsia="zh-CN"/>
        </w:rPr>
        <w:t>9</w:t>
      </w:r>
      <w:r>
        <w:rPr>
          <w:rFonts w:hint="eastAsia" w:asciiTheme="majorEastAsia" w:hAnsiTheme="majorEastAsia" w:eastAsiaTheme="majorEastAsia" w:cstheme="majorEastAsia"/>
          <w:snapToGrid w:val="0"/>
          <w:color w:val="0000FF"/>
          <w:spacing w:val="20"/>
          <w:kern w:val="0"/>
          <w:sz w:val="28"/>
          <w:szCs w:val="28"/>
        </w:rPr>
        <w:t>月</w:t>
      </w:r>
      <w:r>
        <w:rPr>
          <w:rFonts w:hint="eastAsia" w:asciiTheme="majorEastAsia" w:hAnsiTheme="majorEastAsia" w:eastAsiaTheme="majorEastAsia" w:cstheme="majorEastAsia"/>
          <w:snapToGrid w:val="0"/>
          <w:color w:val="0000FF"/>
          <w:spacing w:val="20"/>
          <w:kern w:val="0"/>
          <w:sz w:val="28"/>
          <w:szCs w:val="28"/>
          <w:lang w:val="en-US" w:eastAsia="zh-CN"/>
        </w:rPr>
        <w:t>18</w:t>
      </w:r>
      <w:r>
        <w:rPr>
          <w:rFonts w:hint="eastAsia" w:asciiTheme="majorEastAsia" w:hAnsiTheme="majorEastAsia" w:eastAsiaTheme="majorEastAsia" w:cstheme="majorEastAsia"/>
          <w:snapToGrid w:val="0"/>
          <w:color w:val="0000FF"/>
          <w:spacing w:val="20"/>
          <w:kern w:val="0"/>
          <w:sz w:val="28"/>
          <w:szCs w:val="28"/>
        </w:rPr>
        <w:t>日</w:t>
      </w:r>
      <w:r>
        <w:rPr>
          <w:rFonts w:hint="eastAsia" w:asciiTheme="majorEastAsia" w:hAnsiTheme="majorEastAsia" w:eastAsiaTheme="majorEastAsia" w:cstheme="majorEastAsia"/>
          <w:snapToGrid w:val="0"/>
          <w:color w:val="0000FF"/>
          <w:spacing w:val="20"/>
          <w:kern w:val="0"/>
          <w:sz w:val="28"/>
          <w:szCs w:val="28"/>
          <w:lang w:val="en-US" w:eastAsia="zh-CN"/>
        </w:rPr>
        <w:t>10</w:t>
      </w:r>
      <w:r>
        <w:rPr>
          <w:rFonts w:hint="eastAsia" w:asciiTheme="majorEastAsia" w:hAnsiTheme="majorEastAsia" w:eastAsiaTheme="majorEastAsia" w:cstheme="majorEastAsia"/>
          <w:snapToGrid w:val="0"/>
          <w:color w:val="0000FF"/>
          <w:spacing w:val="20"/>
          <w:kern w:val="0"/>
          <w:sz w:val="28"/>
          <w:szCs w:val="28"/>
        </w:rPr>
        <w:t>时</w:t>
      </w:r>
      <w:r>
        <w:rPr>
          <w:rFonts w:hint="eastAsia" w:asciiTheme="majorEastAsia" w:hAnsiTheme="majorEastAsia" w:eastAsiaTheme="majorEastAsia" w:cstheme="majorEastAsia"/>
          <w:snapToGrid w:val="0"/>
          <w:color w:val="0000FF"/>
          <w:spacing w:val="20"/>
          <w:kern w:val="0"/>
          <w:sz w:val="28"/>
          <w:szCs w:val="28"/>
          <w:lang w:val="en-US" w:eastAsia="zh-CN"/>
        </w:rPr>
        <w:t>00</w:t>
      </w:r>
      <w:r>
        <w:rPr>
          <w:rFonts w:hint="eastAsia" w:asciiTheme="majorEastAsia" w:hAnsiTheme="majorEastAsia" w:eastAsiaTheme="majorEastAsia" w:cstheme="majorEastAsia"/>
          <w:snapToGrid w:val="0"/>
          <w:color w:val="0000FF"/>
          <w:spacing w:val="20"/>
          <w:kern w:val="0"/>
          <w:sz w:val="28"/>
          <w:szCs w:val="28"/>
        </w:rPr>
        <w:t>分</w:t>
      </w:r>
      <w:r>
        <w:rPr>
          <w:rFonts w:hint="eastAsia" w:asciiTheme="majorEastAsia" w:hAnsiTheme="majorEastAsia" w:eastAsiaTheme="majorEastAsia" w:cstheme="majorEastAsia"/>
          <w:snapToGrid w:val="0"/>
          <w:color w:val="auto"/>
          <w:spacing w:val="20"/>
          <w:kern w:val="0"/>
          <w:sz w:val="28"/>
          <w:szCs w:val="28"/>
        </w:rPr>
        <w:t>，</w:t>
      </w:r>
      <w:r>
        <w:rPr>
          <w:rFonts w:hint="eastAsia" w:asciiTheme="majorEastAsia" w:hAnsiTheme="majorEastAsia" w:eastAsiaTheme="majorEastAsia" w:cstheme="majorEastAsia"/>
          <w:snapToGrid w:val="0"/>
          <w:color w:val="auto"/>
          <w:spacing w:val="20"/>
          <w:kern w:val="0"/>
          <w:sz w:val="28"/>
          <w:szCs w:val="28"/>
          <w:lang w:val="en-US" w:eastAsia="zh-CN"/>
        </w:rPr>
        <w:t>地点为新区2号楼837室。</w:t>
      </w:r>
    </w:p>
    <w:p w14:paraId="3D21296A">
      <w:pPr>
        <w:keepNext w:val="0"/>
        <w:keepLines w:val="0"/>
        <w:pageBreakBefore w:val="0"/>
        <w:kinsoku/>
        <w:wordWrap/>
        <w:overflowPunct/>
        <w:topLinePunct w:val="0"/>
        <w:autoSpaceDE/>
        <w:autoSpaceDN/>
        <w:bidi w:val="0"/>
        <w:adjustRightInd w:val="0"/>
        <w:snapToGrid w:val="0"/>
        <w:spacing w:line="360" w:lineRule="auto"/>
        <w:ind w:left="120" w:leftChars="57" w:firstLine="480" w:firstLineChars="150"/>
        <w:textAlignment w:val="auto"/>
        <w:rPr>
          <w:rFonts w:hint="eastAsia" w:asciiTheme="majorEastAsia" w:hAnsiTheme="majorEastAsia" w:eastAsiaTheme="majorEastAsia" w:cstheme="majorEastAsia"/>
          <w:snapToGrid w:val="0"/>
          <w:color w:val="auto"/>
          <w:spacing w:val="20"/>
          <w:kern w:val="0"/>
          <w:sz w:val="28"/>
          <w:szCs w:val="28"/>
          <w:lang w:val="en-US" w:eastAsia="zh-CN"/>
        </w:rPr>
      </w:pPr>
      <w:r>
        <w:rPr>
          <w:rFonts w:hint="eastAsia" w:asciiTheme="majorEastAsia" w:hAnsiTheme="majorEastAsia" w:eastAsiaTheme="majorEastAsia" w:cstheme="majorEastAsia"/>
          <w:snapToGrid w:val="0"/>
          <w:color w:val="auto"/>
          <w:spacing w:val="20"/>
          <w:kern w:val="0"/>
          <w:sz w:val="28"/>
          <w:szCs w:val="28"/>
          <w:lang w:val="en-US" w:eastAsia="zh-CN"/>
        </w:rPr>
        <w:t>4.2响应文件密封要求：响应文件需密封入一个封袋内，封口处需加盖供应商公章。未密封文件或被按不响应遴选要求处理。</w:t>
      </w:r>
    </w:p>
    <w:p w14:paraId="354283DD">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default" w:asciiTheme="majorEastAsia" w:hAnsiTheme="majorEastAsia" w:eastAsiaTheme="majorEastAsia" w:cstheme="majorEastAsia"/>
          <w:snapToGrid w:val="0"/>
          <w:color w:val="auto"/>
          <w:spacing w:val="20"/>
          <w:kern w:val="0"/>
          <w:sz w:val="28"/>
          <w:szCs w:val="28"/>
          <w:lang w:val="en-US" w:eastAsia="zh-CN"/>
        </w:rPr>
      </w:pPr>
      <w:r>
        <w:rPr>
          <w:rFonts w:hint="eastAsia" w:asciiTheme="majorEastAsia" w:hAnsiTheme="majorEastAsia" w:eastAsiaTheme="majorEastAsia" w:cstheme="majorEastAsia"/>
          <w:snapToGrid w:val="0"/>
          <w:color w:val="auto"/>
          <w:spacing w:val="20"/>
          <w:kern w:val="0"/>
          <w:sz w:val="28"/>
          <w:szCs w:val="28"/>
          <w:lang w:val="en-US" w:eastAsia="zh-CN"/>
        </w:rPr>
        <w:t>4.3响应文件由法定代表人或授权委托代理人现场递交，不接受邮寄、快递等其他递交方式。递交时递交人须携带本人有效身份证件原件备查。</w:t>
      </w:r>
    </w:p>
    <w:p w14:paraId="0F3F5A15">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Theme="majorEastAsia" w:hAnsiTheme="majorEastAsia" w:eastAsiaTheme="majorEastAsia" w:cstheme="majorEastAsia"/>
          <w:snapToGrid w:val="0"/>
          <w:color w:val="auto"/>
          <w:spacing w:val="20"/>
          <w:kern w:val="0"/>
          <w:sz w:val="28"/>
          <w:szCs w:val="28"/>
        </w:rPr>
      </w:pPr>
      <w:r>
        <w:rPr>
          <w:rFonts w:hint="eastAsia" w:asciiTheme="majorEastAsia" w:hAnsiTheme="majorEastAsia" w:eastAsiaTheme="majorEastAsia" w:cstheme="majorEastAsia"/>
          <w:snapToGrid w:val="0"/>
          <w:color w:val="auto"/>
          <w:spacing w:val="20"/>
          <w:kern w:val="0"/>
          <w:sz w:val="28"/>
          <w:szCs w:val="28"/>
          <w:lang w:val="en-US" w:eastAsia="zh-CN"/>
        </w:rPr>
        <w:t>4</w:t>
      </w:r>
      <w:r>
        <w:rPr>
          <w:rFonts w:hint="eastAsia" w:asciiTheme="majorEastAsia" w:hAnsiTheme="majorEastAsia" w:eastAsiaTheme="majorEastAsia" w:cstheme="majorEastAsia"/>
          <w:snapToGrid w:val="0"/>
          <w:color w:val="auto"/>
          <w:spacing w:val="20"/>
          <w:kern w:val="0"/>
          <w:sz w:val="28"/>
          <w:szCs w:val="28"/>
        </w:rPr>
        <w:t>.</w:t>
      </w:r>
      <w:r>
        <w:rPr>
          <w:rFonts w:hint="eastAsia" w:asciiTheme="majorEastAsia" w:hAnsiTheme="majorEastAsia" w:eastAsiaTheme="majorEastAsia" w:cstheme="majorEastAsia"/>
          <w:snapToGrid w:val="0"/>
          <w:color w:val="auto"/>
          <w:spacing w:val="20"/>
          <w:kern w:val="0"/>
          <w:sz w:val="28"/>
          <w:szCs w:val="28"/>
          <w:lang w:val="en-US" w:eastAsia="zh-CN"/>
        </w:rPr>
        <w:t>4</w:t>
      </w:r>
      <w:r>
        <w:rPr>
          <w:rFonts w:hint="eastAsia" w:asciiTheme="majorEastAsia" w:hAnsiTheme="majorEastAsia" w:eastAsiaTheme="majorEastAsia" w:cstheme="majorEastAsia"/>
          <w:snapToGrid w:val="0"/>
          <w:color w:val="auto"/>
          <w:spacing w:val="20"/>
          <w:kern w:val="0"/>
          <w:sz w:val="28"/>
          <w:szCs w:val="28"/>
        </w:rPr>
        <w:t>逾期送达的或者未送达指定地点的</w:t>
      </w:r>
      <w:r>
        <w:rPr>
          <w:rFonts w:hint="eastAsia" w:asciiTheme="majorEastAsia" w:hAnsiTheme="majorEastAsia" w:eastAsiaTheme="majorEastAsia" w:cstheme="majorEastAsia"/>
          <w:snapToGrid w:val="0"/>
          <w:color w:val="auto"/>
          <w:spacing w:val="20"/>
          <w:kern w:val="0"/>
          <w:sz w:val="28"/>
          <w:szCs w:val="28"/>
          <w:lang w:val="en-US" w:eastAsia="zh-CN"/>
        </w:rPr>
        <w:t>响应文件</w:t>
      </w:r>
      <w:r>
        <w:rPr>
          <w:rFonts w:hint="eastAsia" w:asciiTheme="majorEastAsia" w:hAnsiTheme="majorEastAsia" w:eastAsiaTheme="majorEastAsia" w:cstheme="majorEastAsia"/>
          <w:snapToGrid w:val="0"/>
          <w:color w:val="auto"/>
          <w:spacing w:val="20"/>
          <w:kern w:val="0"/>
          <w:sz w:val="28"/>
          <w:szCs w:val="28"/>
        </w:rPr>
        <w:t>，</w:t>
      </w:r>
      <w:r>
        <w:rPr>
          <w:rFonts w:hint="eastAsia" w:asciiTheme="majorEastAsia" w:hAnsiTheme="majorEastAsia" w:eastAsiaTheme="majorEastAsia" w:cstheme="majorEastAsia"/>
          <w:snapToGrid w:val="0"/>
          <w:color w:val="auto"/>
          <w:spacing w:val="20"/>
          <w:kern w:val="0"/>
          <w:sz w:val="28"/>
          <w:szCs w:val="28"/>
          <w:lang w:val="en-US" w:eastAsia="zh-CN"/>
        </w:rPr>
        <w:t>遴选人</w:t>
      </w:r>
      <w:r>
        <w:rPr>
          <w:rFonts w:hint="eastAsia" w:asciiTheme="majorEastAsia" w:hAnsiTheme="majorEastAsia" w:eastAsiaTheme="majorEastAsia" w:cstheme="majorEastAsia"/>
          <w:snapToGrid w:val="0"/>
          <w:color w:val="auto"/>
          <w:spacing w:val="20"/>
          <w:kern w:val="0"/>
          <w:sz w:val="28"/>
          <w:szCs w:val="28"/>
        </w:rPr>
        <w:t>不予受理。</w:t>
      </w:r>
    </w:p>
    <w:p w14:paraId="7727909B">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Theme="majorEastAsia" w:hAnsiTheme="majorEastAsia" w:eastAsiaTheme="majorEastAsia" w:cstheme="majorEastAsia"/>
          <w:b w:val="0"/>
          <w:bCs w:val="0"/>
          <w:snapToGrid w:val="0"/>
          <w:color w:val="auto"/>
          <w:spacing w:val="20"/>
          <w:kern w:val="0"/>
          <w:sz w:val="28"/>
          <w:szCs w:val="28"/>
          <w:lang w:val="en-US" w:eastAsia="zh-CN" w:bidi="ar-SA"/>
        </w:rPr>
      </w:pPr>
      <w:r>
        <w:rPr>
          <w:rFonts w:hint="eastAsia" w:asciiTheme="majorEastAsia" w:hAnsiTheme="majorEastAsia" w:eastAsiaTheme="majorEastAsia" w:cstheme="majorEastAsia"/>
          <w:b w:val="0"/>
          <w:bCs w:val="0"/>
          <w:snapToGrid w:val="0"/>
          <w:color w:val="auto"/>
          <w:spacing w:val="20"/>
          <w:kern w:val="0"/>
          <w:sz w:val="28"/>
          <w:szCs w:val="28"/>
          <w:lang w:val="en-US" w:eastAsia="zh-CN" w:bidi="ar-SA"/>
        </w:rPr>
        <w:t>4.5本项目实行资格后审</w:t>
      </w:r>
    </w:p>
    <w:p w14:paraId="0DC56A07">
      <w:pPr>
        <w:keepNext w:val="0"/>
        <w:keepLines w:val="0"/>
        <w:pageBreakBefore w:val="0"/>
        <w:kinsoku/>
        <w:wordWrap/>
        <w:overflowPunct/>
        <w:topLinePunct w:val="0"/>
        <w:autoSpaceDE/>
        <w:autoSpaceDN/>
        <w:bidi w:val="0"/>
        <w:adjustRightInd w:val="0"/>
        <w:snapToGrid w:val="0"/>
        <w:spacing w:line="360" w:lineRule="auto"/>
        <w:ind w:firstLine="722" w:firstLineChars="225"/>
        <w:textAlignment w:val="auto"/>
        <w:rPr>
          <w:rFonts w:hint="eastAsia" w:asciiTheme="majorEastAsia" w:hAnsiTheme="majorEastAsia" w:eastAsiaTheme="majorEastAsia" w:cstheme="majorEastAsia"/>
          <w:b/>
          <w:bCs/>
          <w:snapToGrid w:val="0"/>
          <w:color w:val="auto"/>
          <w:spacing w:val="20"/>
          <w:kern w:val="0"/>
          <w:sz w:val="28"/>
          <w:szCs w:val="28"/>
          <w:lang w:val="en-US" w:eastAsia="zh-CN"/>
        </w:rPr>
      </w:pPr>
      <w:r>
        <w:rPr>
          <w:rFonts w:hint="eastAsia" w:asciiTheme="majorEastAsia" w:hAnsiTheme="majorEastAsia" w:eastAsiaTheme="majorEastAsia" w:cstheme="majorEastAsia"/>
          <w:b/>
          <w:bCs/>
          <w:snapToGrid w:val="0"/>
          <w:color w:val="auto"/>
          <w:spacing w:val="20"/>
          <w:kern w:val="0"/>
          <w:sz w:val="28"/>
          <w:szCs w:val="28"/>
          <w:lang w:val="en-US" w:eastAsia="zh-CN"/>
        </w:rPr>
        <w:t>五、遴选办法</w:t>
      </w:r>
    </w:p>
    <w:p w14:paraId="4CB957BF">
      <w:pPr>
        <w:keepNext w:val="0"/>
        <w:keepLines w:val="0"/>
        <w:pageBreakBefore w:val="0"/>
        <w:kinsoku/>
        <w:wordWrap/>
        <w:overflowPunct/>
        <w:topLinePunct w:val="0"/>
        <w:autoSpaceDE/>
        <w:autoSpaceDN/>
        <w:bidi w:val="0"/>
        <w:adjustRightInd w:val="0"/>
        <w:snapToGrid w:val="0"/>
        <w:spacing w:line="360" w:lineRule="auto"/>
        <w:ind w:firstLine="720" w:firstLineChars="225"/>
        <w:textAlignment w:val="auto"/>
        <w:rPr>
          <w:rFonts w:hint="eastAsia" w:asciiTheme="majorEastAsia" w:hAnsiTheme="majorEastAsia" w:eastAsiaTheme="majorEastAsia" w:cstheme="majorEastAsia"/>
          <w:b w:val="0"/>
          <w:bCs w:val="0"/>
          <w:snapToGrid w:val="0"/>
          <w:color w:val="auto"/>
          <w:spacing w:val="20"/>
          <w:kern w:val="0"/>
          <w:sz w:val="28"/>
          <w:szCs w:val="28"/>
          <w:lang w:val="en-US" w:eastAsia="zh-CN"/>
        </w:rPr>
      </w:pPr>
      <w:r>
        <w:rPr>
          <w:rFonts w:hint="eastAsia" w:asciiTheme="majorEastAsia" w:hAnsiTheme="majorEastAsia" w:eastAsiaTheme="majorEastAsia" w:cstheme="majorEastAsia"/>
          <w:b w:val="0"/>
          <w:bCs w:val="0"/>
          <w:snapToGrid w:val="0"/>
          <w:color w:val="auto"/>
          <w:spacing w:val="20"/>
          <w:kern w:val="0"/>
          <w:sz w:val="28"/>
          <w:szCs w:val="28"/>
          <w:lang w:val="en-US" w:eastAsia="zh-CN"/>
        </w:rPr>
        <w:t>招标人根据供应商的响应文件对供应商的报价、</w:t>
      </w:r>
      <w:bookmarkStart w:id="1" w:name="_GoBack"/>
      <w:bookmarkEnd w:id="1"/>
      <w:r>
        <w:rPr>
          <w:rFonts w:hint="eastAsia" w:asciiTheme="majorEastAsia" w:hAnsiTheme="majorEastAsia" w:eastAsiaTheme="majorEastAsia" w:cstheme="majorEastAsia"/>
          <w:b w:val="0"/>
          <w:bCs w:val="0"/>
          <w:snapToGrid w:val="0"/>
          <w:color w:val="auto"/>
          <w:spacing w:val="20"/>
          <w:kern w:val="0"/>
          <w:sz w:val="28"/>
          <w:szCs w:val="28"/>
          <w:lang w:val="en-US" w:eastAsia="zh-CN"/>
        </w:rPr>
        <w:t>业绩、项目组成人员配备、信用、荣誉等进行综合对比，择优选取成交供应商。</w:t>
      </w:r>
    </w:p>
    <w:p w14:paraId="2C753BD6">
      <w:pPr>
        <w:keepNext w:val="0"/>
        <w:keepLines w:val="0"/>
        <w:pageBreakBefore w:val="0"/>
        <w:kinsoku/>
        <w:wordWrap/>
        <w:overflowPunct/>
        <w:topLinePunct w:val="0"/>
        <w:autoSpaceDE/>
        <w:autoSpaceDN/>
        <w:bidi w:val="0"/>
        <w:adjustRightInd w:val="0"/>
        <w:snapToGrid w:val="0"/>
        <w:spacing w:line="360" w:lineRule="auto"/>
        <w:ind w:firstLine="722" w:firstLineChars="225"/>
        <w:textAlignment w:val="auto"/>
        <w:rPr>
          <w:rFonts w:hint="eastAsia" w:asciiTheme="majorEastAsia" w:hAnsiTheme="majorEastAsia" w:eastAsiaTheme="majorEastAsia" w:cstheme="majorEastAsia"/>
          <w:b/>
          <w:bCs/>
          <w:snapToGrid w:val="0"/>
          <w:color w:val="auto"/>
          <w:spacing w:val="20"/>
          <w:kern w:val="0"/>
          <w:sz w:val="28"/>
          <w:szCs w:val="28"/>
          <w:lang w:val="en-US" w:eastAsia="zh-CN"/>
        </w:rPr>
      </w:pPr>
      <w:r>
        <w:rPr>
          <w:rFonts w:hint="eastAsia" w:asciiTheme="majorEastAsia" w:hAnsiTheme="majorEastAsia" w:eastAsiaTheme="majorEastAsia" w:cstheme="majorEastAsia"/>
          <w:b/>
          <w:bCs/>
          <w:snapToGrid w:val="0"/>
          <w:color w:val="auto"/>
          <w:spacing w:val="20"/>
          <w:kern w:val="0"/>
          <w:sz w:val="28"/>
          <w:szCs w:val="28"/>
          <w:lang w:val="en-US" w:eastAsia="zh-CN"/>
        </w:rPr>
        <w:t>六、发布公告的媒介</w:t>
      </w:r>
    </w:p>
    <w:p w14:paraId="3A9EA884">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Theme="majorEastAsia" w:hAnsiTheme="majorEastAsia" w:eastAsiaTheme="majorEastAsia" w:cstheme="majorEastAsia"/>
          <w:b w:val="0"/>
          <w:bCs w:val="0"/>
          <w:snapToGrid w:val="0"/>
          <w:color w:val="auto"/>
          <w:spacing w:val="20"/>
          <w:kern w:val="0"/>
          <w:sz w:val="28"/>
          <w:szCs w:val="28"/>
          <w:lang w:val="en-US" w:eastAsia="zh-CN"/>
        </w:rPr>
      </w:pPr>
      <w:r>
        <w:rPr>
          <w:rFonts w:hint="eastAsia" w:asciiTheme="majorEastAsia" w:hAnsiTheme="majorEastAsia" w:eastAsiaTheme="majorEastAsia" w:cstheme="majorEastAsia"/>
          <w:b w:val="0"/>
          <w:bCs w:val="0"/>
          <w:snapToGrid w:val="0"/>
          <w:color w:val="auto"/>
          <w:spacing w:val="20"/>
          <w:kern w:val="0"/>
          <w:sz w:val="28"/>
          <w:szCs w:val="28"/>
          <w:lang w:val="en-US" w:eastAsia="zh-CN"/>
        </w:rPr>
        <w:t>本次遴选公告在《长葛市人民政府门户网站》发布。</w:t>
      </w:r>
    </w:p>
    <w:p w14:paraId="2F4B4080">
      <w:pPr>
        <w:keepNext w:val="0"/>
        <w:keepLines w:val="0"/>
        <w:pageBreakBefore w:val="0"/>
        <w:kinsoku/>
        <w:wordWrap/>
        <w:overflowPunct/>
        <w:topLinePunct w:val="0"/>
        <w:autoSpaceDE/>
        <w:autoSpaceDN/>
        <w:bidi w:val="0"/>
        <w:adjustRightInd w:val="0"/>
        <w:snapToGrid w:val="0"/>
        <w:spacing w:line="360" w:lineRule="auto"/>
        <w:ind w:firstLine="722" w:firstLineChars="225"/>
        <w:textAlignment w:val="auto"/>
        <w:rPr>
          <w:rFonts w:hint="eastAsia" w:asciiTheme="majorEastAsia" w:hAnsiTheme="majorEastAsia" w:eastAsiaTheme="majorEastAsia" w:cstheme="majorEastAsia"/>
          <w:b/>
          <w:bCs/>
          <w:snapToGrid w:val="0"/>
          <w:color w:val="auto"/>
          <w:spacing w:val="20"/>
          <w:kern w:val="0"/>
          <w:sz w:val="28"/>
          <w:szCs w:val="28"/>
        </w:rPr>
      </w:pPr>
      <w:r>
        <w:rPr>
          <w:rFonts w:hint="eastAsia" w:asciiTheme="majorEastAsia" w:hAnsiTheme="majorEastAsia" w:eastAsiaTheme="majorEastAsia" w:cstheme="majorEastAsia"/>
          <w:b/>
          <w:bCs/>
          <w:snapToGrid w:val="0"/>
          <w:color w:val="auto"/>
          <w:spacing w:val="20"/>
          <w:kern w:val="0"/>
          <w:sz w:val="28"/>
          <w:szCs w:val="28"/>
          <w:lang w:val="en-US" w:eastAsia="zh-CN"/>
        </w:rPr>
        <w:t>七、招标人</w:t>
      </w:r>
      <w:r>
        <w:rPr>
          <w:rFonts w:hint="eastAsia" w:asciiTheme="majorEastAsia" w:hAnsiTheme="majorEastAsia" w:eastAsiaTheme="majorEastAsia" w:cstheme="majorEastAsia"/>
          <w:b/>
          <w:bCs/>
          <w:snapToGrid w:val="0"/>
          <w:color w:val="auto"/>
          <w:spacing w:val="20"/>
          <w:kern w:val="0"/>
          <w:sz w:val="28"/>
          <w:szCs w:val="28"/>
        </w:rPr>
        <w:t>信息</w:t>
      </w:r>
    </w:p>
    <w:p w14:paraId="5B420293">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Theme="majorEastAsia" w:hAnsiTheme="majorEastAsia" w:eastAsiaTheme="majorEastAsia" w:cstheme="majorEastAsia"/>
          <w:b w:val="0"/>
          <w:bCs w:val="0"/>
          <w:snapToGrid w:val="0"/>
          <w:color w:val="auto"/>
          <w:spacing w:val="20"/>
          <w:kern w:val="0"/>
          <w:sz w:val="28"/>
          <w:szCs w:val="28"/>
          <w:lang w:val="en-US" w:eastAsia="zh-CN"/>
        </w:rPr>
      </w:pPr>
      <w:r>
        <w:rPr>
          <w:rFonts w:hint="eastAsia" w:asciiTheme="majorEastAsia" w:hAnsiTheme="majorEastAsia" w:eastAsiaTheme="majorEastAsia" w:cstheme="majorEastAsia"/>
          <w:b w:val="0"/>
          <w:bCs w:val="0"/>
          <w:snapToGrid w:val="0"/>
          <w:color w:val="auto"/>
          <w:spacing w:val="20"/>
          <w:kern w:val="0"/>
          <w:sz w:val="28"/>
          <w:szCs w:val="28"/>
          <w:lang w:val="en-US" w:eastAsia="zh-CN"/>
        </w:rPr>
        <w:t>招标人：长葛市农业农村局</w:t>
      </w:r>
    </w:p>
    <w:p w14:paraId="2E1A9680">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Theme="majorEastAsia" w:hAnsiTheme="majorEastAsia" w:eastAsiaTheme="majorEastAsia" w:cstheme="majorEastAsia"/>
          <w:b w:val="0"/>
          <w:bCs w:val="0"/>
          <w:snapToGrid w:val="0"/>
          <w:color w:val="auto"/>
          <w:spacing w:val="20"/>
          <w:kern w:val="0"/>
          <w:sz w:val="28"/>
          <w:szCs w:val="28"/>
          <w:lang w:val="en-US" w:eastAsia="zh-CN"/>
        </w:rPr>
      </w:pPr>
      <w:r>
        <w:rPr>
          <w:rFonts w:hint="eastAsia" w:asciiTheme="majorEastAsia" w:hAnsiTheme="majorEastAsia" w:eastAsiaTheme="majorEastAsia" w:cstheme="majorEastAsia"/>
          <w:b w:val="0"/>
          <w:bCs w:val="0"/>
          <w:snapToGrid w:val="0"/>
          <w:color w:val="auto"/>
          <w:spacing w:val="20"/>
          <w:kern w:val="0"/>
          <w:sz w:val="28"/>
          <w:szCs w:val="28"/>
          <w:lang w:val="en-US" w:eastAsia="zh-CN"/>
        </w:rPr>
        <w:t>联系电话：0374-6927029</w:t>
      </w:r>
    </w:p>
    <w:p w14:paraId="6EB0986F">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Theme="majorEastAsia" w:hAnsiTheme="majorEastAsia" w:eastAsiaTheme="majorEastAsia" w:cstheme="majorEastAsia"/>
          <w:b w:val="0"/>
          <w:bCs w:val="0"/>
          <w:snapToGrid w:val="0"/>
          <w:color w:val="auto"/>
          <w:spacing w:val="20"/>
          <w:kern w:val="0"/>
          <w:sz w:val="28"/>
          <w:szCs w:val="28"/>
          <w:lang w:val="en-US" w:eastAsia="zh-CN"/>
        </w:rPr>
      </w:pPr>
      <w:r>
        <w:rPr>
          <w:rFonts w:hint="eastAsia" w:asciiTheme="majorEastAsia" w:hAnsiTheme="majorEastAsia" w:eastAsiaTheme="majorEastAsia" w:cstheme="majorEastAsia"/>
          <w:b w:val="0"/>
          <w:bCs w:val="0"/>
          <w:snapToGrid w:val="0"/>
          <w:color w:val="auto"/>
          <w:spacing w:val="20"/>
          <w:kern w:val="0"/>
          <w:sz w:val="28"/>
          <w:szCs w:val="28"/>
          <w:lang w:val="en-US" w:eastAsia="zh-CN"/>
        </w:rPr>
        <w:t>地址：长葛市葛天大道东段商务区2号楼</w:t>
      </w:r>
    </w:p>
    <w:p w14:paraId="1623A1F1">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0"/>
        <w:jc w:val="both"/>
        <w:textAlignment w:val="auto"/>
        <w:rPr>
          <w:rFonts w:hint="eastAsia" w:asciiTheme="majorEastAsia" w:hAnsiTheme="majorEastAsia" w:eastAsiaTheme="majorEastAsia" w:cstheme="majorEastAsia"/>
          <w:snapToGrid w:val="0"/>
          <w:color w:val="auto"/>
          <w:spacing w:val="20"/>
          <w:kern w:val="0"/>
          <w:sz w:val="28"/>
          <w:szCs w:val="28"/>
          <w:shd w:val="clear" w:color="auto" w:fill="FFFFFF"/>
          <w:lang w:val="en-US" w:eastAsia="zh-CN" w:bidi="ar-SA"/>
        </w:rPr>
      </w:pPr>
    </w:p>
    <w:p w14:paraId="71DCF8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638" w:leftChars="304" w:right="0" w:firstLine="4160" w:firstLineChars="1300"/>
        <w:jc w:val="left"/>
        <w:rPr>
          <w:rFonts w:hint="eastAsia" w:asciiTheme="majorEastAsia" w:hAnsiTheme="majorEastAsia" w:eastAsiaTheme="majorEastAsia" w:cstheme="majorEastAsia"/>
          <w:i w:val="0"/>
          <w:iCs w:val="0"/>
          <w:caps w:val="0"/>
          <w:color w:val="000000"/>
          <w:spacing w:val="0"/>
          <w:kern w:val="0"/>
          <w:sz w:val="32"/>
          <w:szCs w:val="32"/>
          <w:u w:val="none"/>
          <w:shd w:val="clear" w:fill="FFFFFF"/>
          <w:lang w:val="en-US" w:eastAsia="zh-CN" w:bidi="ar"/>
        </w:rPr>
      </w:pPr>
    </w:p>
    <w:p w14:paraId="6FEB9C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638" w:leftChars="304" w:right="0" w:firstLine="4160" w:firstLineChars="1300"/>
        <w:jc w:val="left"/>
        <w:rPr>
          <w:rFonts w:hint="default" w:ascii="仿宋" w:hAnsi="仿宋" w:eastAsia="仿宋" w:cs="仿宋"/>
          <w:i w:val="0"/>
          <w:iCs w:val="0"/>
          <w:caps w:val="0"/>
          <w:color w:val="000000"/>
          <w:spacing w:val="0"/>
          <w:kern w:val="0"/>
          <w:sz w:val="32"/>
          <w:szCs w:val="32"/>
          <w:u w:val="none"/>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ZhMDhjYTU2N2IyMWNjMDYzYzJkMGE1NGFiOWZjNzUifQ=="/>
  </w:docVars>
  <w:rsids>
    <w:rsidRoot w:val="44356C5A"/>
    <w:rsid w:val="08960F8C"/>
    <w:rsid w:val="0AAF0FF8"/>
    <w:rsid w:val="0FAB2A49"/>
    <w:rsid w:val="0FDE5264"/>
    <w:rsid w:val="130F235C"/>
    <w:rsid w:val="173B186A"/>
    <w:rsid w:val="177B3894"/>
    <w:rsid w:val="1F51655B"/>
    <w:rsid w:val="24B616C1"/>
    <w:rsid w:val="26D919BB"/>
    <w:rsid w:val="277B70B1"/>
    <w:rsid w:val="287F7379"/>
    <w:rsid w:val="2A90446B"/>
    <w:rsid w:val="325911A0"/>
    <w:rsid w:val="390F318A"/>
    <w:rsid w:val="43AD5798"/>
    <w:rsid w:val="43E5524D"/>
    <w:rsid w:val="43F30517"/>
    <w:rsid w:val="44356C5A"/>
    <w:rsid w:val="462A32D4"/>
    <w:rsid w:val="463E3B5B"/>
    <w:rsid w:val="491512E0"/>
    <w:rsid w:val="4982421A"/>
    <w:rsid w:val="521C621F"/>
    <w:rsid w:val="56C97115"/>
    <w:rsid w:val="5A6E0714"/>
    <w:rsid w:val="63097573"/>
    <w:rsid w:val="635655AC"/>
    <w:rsid w:val="63842D8E"/>
    <w:rsid w:val="646D13CF"/>
    <w:rsid w:val="649E45AE"/>
    <w:rsid w:val="69BE5E51"/>
    <w:rsid w:val="73C58D5F"/>
    <w:rsid w:val="75110323"/>
    <w:rsid w:val="7A0C5D1C"/>
    <w:rsid w:val="7BF24F6D"/>
    <w:rsid w:val="7EF5AC86"/>
    <w:rsid w:val="BB6FF253"/>
    <w:rsid w:val="BDF79F1A"/>
    <w:rsid w:val="CF6D4455"/>
    <w:rsid w:val="DFE93DE4"/>
    <w:rsid w:val="EFA7967D"/>
    <w:rsid w:val="F36590E5"/>
    <w:rsid w:val="FDFD4BAE"/>
    <w:rsid w:val="FE697EC7"/>
    <w:rsid w:val="FF5B2DCC"/>
    <w:rsid w:val="FFBF34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character" w:styleId="5">
    <w:name w:val="FollowedHyperlink"/>
    <w:basedOn w:val="4"/>
    <w:qFormat/>
    <w:uiPriority w:val="0"/>
    <w:rPr>
      <w:color w:val="000000"/>
      <w:u w:val="none"/>
    </w:rPr>
  </w:style>
  <w:style w:type="character" w:styleId="6">
    <w:name w:val="Emphasis"/>
    <w:basedOn w:val="4"/>
    <w:qFormat/>
    <w:uiPriority w:val="0"/>
  </w:style>
  <w:style w:type="character" w:styleId="7">
    <w:name w:val="Hyperlink"/>
    <w:basedOn w:val="4"/>
    <w:qFormat/>
    <w:uiPriority w:val="0"/>
    <w:rPr>
      <w:color w:val="000000"/>
      <w:u w:val="none"/>
    </w:rPr>
  </w:style>
  <w:style w:type="character" w:customStyle="1" w:styleId="8">
    <w:name w:val="red"/>
    <w:basedOn w:val="4"/>
    <w:qFormat/>
    <w:uiPriority w:val="0"/>
    <w:rPr>
      <w:color w:val="FF0000"/>
      <w:sz w:val="14"/>
      <w:szCs w:val="14"/>
    </w:rPr>
  </w:style>
  <w:style w:type="character" w:customStyle="1" w:styleId="9">
    <w:name w:val="red1"/>
    <w:basedOn w:val="4"/>
    <w:qFormat/>
    <w:uiPriority w:val="0"/>
    <w:rPr>
      <w:color w:val="FF0000"/>
      <w:sz w:val="14"/>
      <w:szCs w:val="14"/>
    </w:rPr>
  </w:style>
  <w:style w:type="character" w:customStyle="1" w:styleId="10">
    <w:name w:val="red2"/>
    <w:basedOn w:val="4"/>
    <w:qFormat/>
    <w:uiPriority w:val="0"/>
    <w:rPr>
      <w:color w:val="CC0000"/>
    </w:rPr>
  </w:style>
  <w:style w:type="character" w:customStyle="1" w:styleId="11">
    <w:name w:val="red3"/>
    <w:basedOn w:val="4"/>
    <w:qFormat/>
    <w:uiPriority w:val="0"/>
    <w:rPr>
      <w:color w:val="FF0000"/>
    </w:rPr>
  </w:style>
  <w:style w:type="character" w:customStyle="1" w:styleId="12">
    <w:name w:val="green"/>
    <w:basedOn w:val="4"/>
    <w:qFormat/>
    <w:uiPriority w:val="0"/>
    <w:rPr>
      <w:color w:val="66AE00"/>
      <w:sz w:val="14"/>
      <w:szCs w:val="14"/>
    </w:rPr>
  </w:style>
  <w:style w:type="character" w:customStyle="1" w:styleId="13">
    <w:name w:val="green1"/>
    <w:basedOn w:val="4"/>
    <w:qFormat/>
    <w:uiPriority w:val="0"/>
    <w:rPr>
      <w:color w:val="66AE00"/>
      <w:sz w:val="14"/>
      <w:szCs w:val="14"/>
    </w:rPr>
  </w:style>
  <w:style w:type="character" w:customStyle="1" w:styleId="14">
    <w:name w:val="hover25"/>
    <w:basedOn w:val="4"/>
    <w:qFormat/>
    <w:uiPriority w:val="0"/>
  </w:style>
  <w:style w:type="character" w:customStyle="1" w:styleId="15">
    <w:name w:val="gb-jt"/>
    <w:basedOn w:val="4"/>
    <w:qFormat/>
    <w:uiPriority w:val="0"/>
  </w:style>
  <w:style w:type="character" w:customStyle="1" w:styleId="16">
    <w:name w:val="blue"/>
    <w:basedOn w:val="4"/>
    <w:qFormat/>
    <w:uiPriority w:val="0"/>
    <w:rPr>
      <w:color w:val="0371C6"/>
      <w:sz w:val="16"/>
      <w:szCs w:val="16"/>
    </w:rPr>
  </w:style>
  <w:style w:type="character" w:customStyle="1" w:styleId="17">
    <w:name w:val="right"/>
    <w:basedOn w:val="4"/>
    <w:qFormat/>
    <w:uiPriority w:val="0"/>
    <w:rPr>
      <w:color w:val="999999"/>
      <w:sz w:val="14"/>
      <w:szCs w:val="14"/>
    </w:rPr>
  </w:style>
  <w:style w:type="character" w:customStyle="1" w:styleId="18">
    <w:name w:val="active4"/>
    <w:basedOn w:val="4"/>
    <w:qFormat/>
    <w:uiPriority w:val="0"/>
    <w:rPr>
      <w:color w:val="FFFFFF"/>
      <w:shd w:val="clear" w:fill="2B7AFC"/>
    </w:rPr>
  </w:style>
  <w:style w:type="character" w:customStyle="1" w:styleId="19">
    <w:name w:val="red4"/>
    <w:basedOn w:val="4"/>
    <w:qFormat/>
    <w:uiPriority w:val="0"/>
    <w:rPr>
      <w:color w:val="FF0000"/>
      <w:sz w:val="14"/>
      <w:szCs w:val="14"/>
    </w:rPr>
  </w:style>
  <w:style w:type="character" w:customStyle="1" w:styleId="20">
    <w:name w:val="red5"/>
    <w:basedOn w:val="4"/>
    <w:qFormat/>
    <w:uiPriority w:val="0"/>
    <w:rPr>
      <w:color w:val="CC0000"/>
    </w:rPr>
  </w:style>
  <w:style w:type="character" w:customStyle="1" w:styleId="21">
    <w:name w:val="red6"/>
    <w:basedOn w:val="4"/>
    <w:qFormat/>
    <w:uiPriority w:val="0"/>
    <w:rPr>
      <w:color w:val="FF0000"/>
    </w:rPr>
  </w:style>
  <w:style w:type="character" w:customStyle="1" w:styleId="22">
    <w:name w:val="hover"/>
    <w:basedOn w:val="4"/>
    <w:qFormat/>
    <w:uiPriority w:val="0"/>
  </w:style>
  <w:style w:type="character" w:customStyle="1" w:styleId="23">
    <w:name w:val="red7"/>
    <w:basedOn w:val="4"/>
    <w:qFormat/>
    <w:uiPriority w:val="0"/>
    <w:rPr>
      <w:color w:val="FF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918</Words>
  <Characters>1044</Characters>
  <Lines>0</Lines>
  <Paragraphs>0</Paragraphs>
  <TotalTime>9</TotalTime>
  <ScaleCrop>false</ScaleCrop>
  <LinksUpToDate>false</LinksUpToDate>
  <CharactersWithSpaces>1046</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2022-04-12T16:03:00Z</dcterms:created>
  <dc:creator>马红超</dc:creator>
  <cp:lastModifiedBy>huanghe</cp:lastModifiedBy>
  <cp:lastPrinted>2022-04-12T16:33:00Z</cp:lastPrinted>
  <dcterms:modified xsi:type="dcterms:W3CDTF">2026-09-10T16:15:15Z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CC92EF16005EF1721367A26A32BD64E8_43</vt:lpwstr>
  </property>
  <property fmtid="{D5CDD505-2E9C-101B-9397-08002B2CF9AE}" pid="4" name="KSOTemplateDocerSaveRecord">
    <vt:lpwstr>eyJoZGlkIjoiNTQ2OWI3OWY4ZjY3OTM4YTg3NGQxYTk4ZmUwZGE5YTAiLCJ1c2VySWQiOiIzMTA0NTM4MjQifQ==</vt:lpwstr>
  </property>
</Properties>
</file>