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关于长葛市农机购置补贴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资金结算相关说明</w:t>
      </w:r>
    </w:p>
    <w:p>
      <w:pPr>
        <w:adjustRightInd w:val="0"/>
        <w:snapToGrid w:val="0"/>
        <w:spacing w:line="360" w:lineRule="auto"/>
        <w:ind w:left="210" w:leftChars="10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 xml:space="preserve">农业农村厅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财政厅关于进一步加强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相关惠农</w:t>
      </w:r>
      <w:r>
        <w:rPr>
          <w:rFonts w:hint="eastAsia" w:ascii="仿宋" w:hAnsi="仿宋" w:eastAsia="仿宋" w:cs="仿宋"/>
          <w:sz w:val="32"/>
          <w:szCs w:val="32"/>
        </w:rPr>
        <w:t>补贴政策监管强化纪律约束的通知》（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豫农财务</w:t>
      </w:r>
      <w:r>
        <w:rPr>
          <w:rFonts w:hint="eastAsia" w:ascii="仿宋" w:hAnsi="仿宋" w:eastAsia="仿宋" w:cs="仿宋"/>
          <w:sz w:val="32"/>
          <w:szCs w:val="32"/>
        </w:rPr>
        <w:t>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号）、《河南省2018-2020年农业机械购置补贴实施指导意见》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豫农机计文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〔2018〕29号）》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。今年起，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资金结算</w:t>
      </w:r>
      <w:r>
        <w:rPr>
          <w:rFonts w:hint="eastAsia" w:ascii="仿宋" w:hAnsi="仿宋" w:eastAsia="仿宋" w:cs="仿宋"/>
          <w:sz w:val="32"/>
          <w:szCs w:val="32"/>
        </w:rPr>
        <w:t>在受理购机者补贴申请后，于30个工作日（不含公示时间）内完成审核，并送同级财政部门。财政部门根据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提供的材料依据，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联合农机部门按照两随机一公开的方法进行抽查核实，</w:t>
      </w:r>
      <w:r>
        <w:rPr>
          <w:rFonts w:hint="eastAsia" w:ascii="仿宋" w:hAnsi="仿宋" w:eastAsia="仿宋" w:cs="仿宋"/>
          <w:sz w:val="32"/>
          <w:szCs w:val="32"/>
        </w:rPr>
        <w:t>对符合要求的于30个工作日内通过国库集中支付的方式兑付资金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对不符合要求的应原渠道退回并由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部门通知购机者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因资金不足需要延期兑付的，应及时告知购机者，并及时会同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部门联合上报。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长葛市农机局</w:t>
      </w:r>
    </w:p>
    <w:p>
      <w:pPr>
        <w:adjustRightInd w:val="0"/>
        <w:snapToGrid w:val="0"/>
        <w:spacing w:line="360" w:lineRule="auto"/>
        <w:ind w:left="210" w:leftChars="100" w:firstLine="672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2019年10月16日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9148D"/>
    <w:rsid w:val="024D688A"/>
    <w:rsid w:val="1C881312"/>
    <w:rsid w:val="349B2BD2"/>
    <w:rsid w:val="3639148D"/>
    <w:rsid w:val="601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2019-10-15T07:51:00Z</dcterms:created>
  <dc:creator>长葛农机购置补贴</dc:creator>
  <cp:lastModifiedBy>长葛农机购置补贴</cp:lastModifiedBy>
  <dcterms:modified xsi:type="dcterms:W3CDTF">2019-10-15T09:33:50Z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