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（二十二）</w:t>
      </w:r>
      <w:bookmarkStart w:id="0" w:name="_GoBack"/>
      <w:r>
        <w:rPr>
          <w:rFonts w:hint="eastAsia" w:ascii="方正小标宋简体" w:hAnsi="方正小标宋简体" w:eastAsia="方正小标宋简体" w:cs="方正小标宋简体"/>
          <w:color w:val="auto"/>
          <w:spacing w:val="0"/>
          <w:w w:val="100"/>
          <w:position w:val="0"/>
          <w:sz w:val="36"/>
          <w:szCs w:val="36"/>
          <w:lang w:eastAsia="zh-CN"/>
        </w:rPr>
        <w:t>安全生产领域</w:t>
      </w:r>
      <w:r>
        <w:rPr>
          <w:rFonts w:hint="eastAsia" w:ascii="方正小标宋简体" w:hAnsi="方正小标宋简体" w:eastAsia="方正小标宋简体" w:cs="方正小标宋简体"/>
          <w:color w:val="auto"/>
          <w:spacing w:val="0"/>
          <w:w w:val="100"/>
          <w:position w:val="0"/>
          <w:sz w:val="36"/>
          <w:szCs w:val="36"/>
        </w:rPr>
        <w:t>基层政务公开标准目录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29"/>
        <w:gridCol w:w="699"/>
        <w:gridCol w:w="984"/>
        <w:gridCol w:w="220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2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2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政策文件</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法律法规</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与安全生产有关的法律、法规</w:t>
            </w:r>
          </w:p>
        </w:tc>
        <w:tc>
          <w:tcPr>
            <w:tcW w:w="1784"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Merge w:val="restart"/>
            <w:vAlign w:val="top"/>
          </w:tcPr>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1.长葛市人民政府网</w:t>
            </w:r>
          </w:p>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2.长葛市行政服务中心</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部门和地方规章</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与安全生产有关的部门和地方规章</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Merge w:val="continue"/>
            <w:vAlign w:val="top"/>
          </w:tcPr>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其他政策文件</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其他可以公开的与安全生产有关的政策文件，包括改革方案、发展规划、专项规划、工作计划等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Merge w:val="continue"/>
            <w:vAlign w:val="top"/>
          </w:tcPr>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4</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标准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安全生产领域有关的国家标准、行业标准、地方标准等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Merge w:val="continue"/>
            <w:vAlign w:val="top"/>
          </w:tcPr>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5</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重大决策草案</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涉及管理相对人切身利益、需社会广泛知晓的重要改革方案等重大决策，决策前向社会公开决策草案、决策依据</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top"/>
          </w:tcPr>
          <w:p>
            <w:pPr>
              <w:spacing w:before="0" w:after="0" w:line="257" w:lineRule="auto"/>
              <w:ind w:left="100" w:leftChars="0" w:right="27"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1.长葛市人民政府网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6</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color w:val="auto"/>
              </w:rPr>
              <w:t>政策文件</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重大政策解读及回应</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有关重大政策的解读与回应，安全生产相关热点问题的解读与回应</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《中华人民共和国政府信息公开条例》(国务院令第711号）、中办国办《关于全面推进政务公开工作的意见》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重大决策作出后及时公开</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7</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重要会议</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通过会议讨论作出重要改革方案等重大决策时，经党组研究认为有必要公开讨论决策过程的会议</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提前一周发通知邀请</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8</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征集采纳社会公众意见情况</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重大决策草案公布后征集到的社会公众意见情况、采纳与否情况及理由等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征求意见时对外公布的时限内公开</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default" w:ascii="Times New Roman" w:hAnsi="Times New Roman" w:eastAsia="方正仿宋简体" w:cs="Times New Roman"/>
                <w:color w:val="auto"/>
                <w:spacing w:val="-6"/>
                <w:w w:val="100"/>
                <w:sz w:val="21"/>
                <w:szCs w:val="21"/>
                <w:vertAlign w:val="baseline"/>
                <w:lang w:val="en-US" w:eastAsia="zh-CN"/>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依法行政</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行政许可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办理行政许可和其他对外管理服务事项的依据、条件、程序</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numPr>
                <w:ilvl w:val="0"/>
                <w:numId w:val="1"/>
              </w:numPr>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keepNext w:val="0"/>
              <w:keepLines w:val="0"/>
              <w:widowControl/>
              <w:numPr>
                <w:ilvl w:val="0"/>
                <w:numId w:val="1"/>
              </w:numPr>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p>
        </w:tc>
        <w:tc>
          <w:tcPr>
            <w:tcW w:w="594"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行政处罚</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办理行政处罚的依据、条件、程序以及本级行政机关认为具有一定社会影响的行政处罚决定</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w:t>
            </w:r>
          </w:p>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生产领域改革发展的意见》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numPr>
                <w:ilvl w:val="0"/>
                <w:numId w:val="2"/>
              </w:numPr>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keepNext w:val="0"/>
              <w:keepLines w:val="0"/>
              <w:widowControl/>
              <w:numPr>
                <w:ilvl w:val="0"/>
                <w:numId w:val="2"/>
              </w:numPr>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p>
        </w:tc>
        <w:tc>
          <w:tcPr>
            <w:tcW w:w="594"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行政强制</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办理行政强制的依据、条件、程序</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《中华人民共和国政府信息公开条例》(国务院令第711号）《中华人民共和国突发事件应对法》、《突发事件应急预案管理办法》、《中共中央国务院关于推进安全生产领域改革发展的意见》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行政管理</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隐患管理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重大隐患排查、挂牌督办及其整改情况，安全生产举报电话等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《安全生产法》、《中华人民共和国政府信息公开条例》(国务院令第711号）、《中共中央国务院关于推进安全生产领域改革发展的意见》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1.长葛市人民政府网2.长葛市行政服务中心3.社区/企事业单位、村公示栏（电子屏）</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应急管理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承担处置主责、非敏感的应急信息，包括事故灾害类预警信息、事故信息、事故后采取的应急处置措施和应对结果等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1.长葛市人民政府网2.长葛市行政服务中心3.社区/企事业单位、村公示栏（电子屏）</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行政管理</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黑名单管理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列入或撤销纳入安全生产黑名单管理的企业信息，具体企业名称、证照编号、经营地址、负责人姓名等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《中华人民共和国政府信息公开条例》（国务院令第711号）、《社会信用体系建设规划纲要（2014-2020年）》</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4</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事故通报</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事故信息:本部门接报查实的各类生产安全事故情况（事故发生时间、地点、伤亡情况、简要经过）●典型事故通报:各类典型安全生产事故情况通报，主要包括发生时间、地点、起因、经过、结果、相关领导批示情况、预防性措施建议等内容●事故调查报告：依照事故调查处理权限，经批复的生产安全事故调查报告，依法应当保密的除外</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《安全生产法》、《中华人民共和国政府信息公开条例》(国务院令第711号）、《中共中央国务院关于推进安全生产领域改革发展的意见》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按照中央有关要求公开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5</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动态信息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●业务工作动态●安全生产执法检查动态</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6</w:t>
            </w:r>
          </w:p>
        </w:tc>
        <w:tc>
          <w:tcPr>
            <w:tcW w:w="699" w:type="dxa"/>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行政管理</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安全生产预警提示信息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●气象及灾害预警信息●不同时段、不同领域安全生产提示信息</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信息形成后及时公开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2.入户/现场</w:t>
            </w:r>
          </w:p>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3.社区/企事业单位、村公示栏（电子屏）</w:t>
            </w:r>
          </w:p>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咨询电话：0374-6189306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r>
              <w:rPr>
                <w:rFonts w:hint="eastAsia"/>
                <w:color w:val="auto"/>
              </w:rPr>
              <w:t>公共服务</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政务公开目录</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政务公开事项的索引、名称、内容概述、生成日期等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政务公开标准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政府信息公开指南等流程性信息</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restart"/>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r>
              <w:rPr>
                <w:rFonts w:hint="eastAsia"/>
                <w:color w:val="auto"/>
              </w:rPr>
              <w:t>公共服务</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权力清单及责任清单</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同级政府审批通过的行政执法主体信息和行政许可、行政处罚、行政强制、行政检查、行政确认、行政奖励及其他行政职权等行政执法职权职责清单</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信息形成或者变更20个工作日内，如有更新，及时公开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numPr>
                <w:ilvl w:val="0"/>
                <w:numId w:val="3"/>
              </w:numPr>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keepNext w:val="0"/>
              <w:keepLines w:val="0"/>
              <w:widowControl/>
              <w:numPr>
                <w:ilvl w:val="0"/>
                <w:numId w:val="3"/>
              </w:numPr>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4</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主要业务办事指南</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主要业务工作的办事依据、程序、时限，办事时间、地点、部门、联系方式及相关办理结果</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信息形成或者变更之日起20个工作日内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5</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年度报告</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政府信息公开年度报告及相关统计报表</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每年1月31日前</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r>
              <w:rPr>
                <w:rFonts w:hint="eastAsia"/>
                <w:color w:val="auto"/>
              </w:rPr>
              <w:t>重点领域信息公开</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财政资金信息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●预算、决算●“三公”经费●安全生产专项资金使用等财政资金信息</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按中央要求时限公开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政府采购信息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本单位采购实施情况相关信息</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办事纪律和监督管理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本单位的办事纪律,受理投诉、举报、信访的途径等内容</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4</w:t>
            </w:r>
          </w:p>
        </w:tc>
        <w:tc>
          <w:tcPr>
            <w:tcW w:w="699" w:type="dxa"/>
            <w:vMerge w:val="restart"/>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r>
              <w:rPr>
                <w:rFonts w:hint="eastAsia"/>
                <w:color w:val="auto"/>
              </w:rPr>
              <w:t>重点领域信息公开</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重大工程项目信息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项目名称、执行措施、责任分工、取得成效、后续举措等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《中华人民共和国政府信息公开条例》(国务院令第711号）、《国务院办公厅关于推进重大建设项目批准和实施领域政府信息公开的意见》（国办发〔2017〕94号）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按照中央有关要求公开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5</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检查和巡查发现安全监管监察问题</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检查和巡查发现的、并要求向社会公开的问题及整改落实情况</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《中华人民共和国政府信息公开条例》(国务院令第711号）、《中共中央国务院关于推进安全生产领域改革发展的意见》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6</w:t>
            </w:r>
          </w:p>
        </w:tc>
        <w:tc>
          <w:tcPr>
            <w:tcW w:w="699" w:type="dxa"/>
            <w:vMerge w:val="continue"/>
            <w:vAlign w:val="top"/>
          </w:tcPr>
          <w:p>
            <w:pPr>
              <w:spacing w:before="0" w:after="0" w:line="240" w:lineRule="exact"/>
              <w:ind w:left="148" w:leftChars="0" w:right="84" w:rightChars="0"/>
              <w:jc w:val="center"/>
              <w:rPr>
                <w:rFonts w:hint="eastAsia" w:ascii="Arial" w:hAnsi="Arial" w:eastAsia="Arial" w:cs="Arial"/>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建议提案办理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●办理制度与推进情况</w:t>
            </w:r>
            <w:r>
              <w:rPr>
                <w:rStyle w:val="5"/>
                <w:rFonts w:hAnsi="宋体"/>
                <w:color w:val="auto"/>
                <w:spacing w:val="-12"/>
                <w:lang w:val="en-US" w:eastAsia="zh-CN" w:bidi="ar"/>
              </w:rPr>
              <w:t>●人大代表建议办理●政协委员提案办理</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《中华人民共和国政府信息公开条例》(国务院令第711号）、《国务院办公厅关于做好全国人大代表建议和全国政协委员提案办理结果公开工作的通知》（国办发〔2014〕46号）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按照中央有关要求公开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bl>
    <w:p>
      <w:pPr>
        <w:jc w:val="center"/>
        <w:rPr>
          <w:rFonts w:hint="eastAsia" w:ascii="方正小标宋简体" w:hAnsi="方正小标宋简体" w:eastAsia="方正小标宋简体" w:cs="方正小标宋简体"/>
          <w:color w:val="auto"/>
          <w:spacing w:val="0"/>
          <w:w w:val="100"/>
          <w:position w:val="0"/>
          <w:sz w:val="36"/>
          <w:szCs w:val="36"/>
        </w:rPr>
      </w:pPr>
      <w:r>
        <w:rPr>
          <w:rFonts w:hint="eastAsia" w:ascii="方正小标宋简体" w:hAnsi="方正小标宋简体" w:eastAsia="方正小标宋简体" w:cs="方正小标宋简体"/>
          <w:color w:val="auto"/>
          <w:spacing w:val="0"/>
          <w:w w:val="100"/>
          <w:position w:val="0"/>
          <w:sz w:val="36"/>
          <w:szCs w:val="36"/>
        </w:rPr>
        <w:br w:type="page"/>
      </w:r>
    </w:p>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ÂËÎ">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Kozuka Gothic Pr6N EL">
    <w:panose1 w:val="020B0200000000000000"/>
    <w:charset w:val="28"/>
    <w:family w:val="swiss"/>
    <w:pitch w:val="default"/>
    <w:sig w:usb0="000002D7" w:usb1="2AC71C11" w:usb2="00000012" w:usb3="00000000" w:csb0="200200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0FC97"/>
    <w:multiLevelType w:val="singleLevel"/>
    <w:tmpl w:val="8370FC97"/>
    <w:lvl w:ilvl="0" w:tentative="0">
      <w:start w:val="1"/>
      <w:numFmt w:val="decimal"/>
      <w:lvlText w:val="%1."/>
      <w:lvlJc w:val="left"/>
      <w:pPr>
        <w:tabs>
          <w:tab w:val="left" w:pos="312"/>
        </w:tabs>
      </w:pPr>
    </w:lvl>
  </w:abstractNum>
  <w:abstractNum w:abstractNumId="1">
    <w:nsid w:val="925FD71E"/>
    <w:multiLevelType w:val="singleLevel"/>
    <w:tmpl w:val="925FD71E"/>
    <w:lvl w:ilvl="0" w:tentative="0">
      <w:start w:val="1"/>
      <w:numFmt w:val="decimal"/>
      <w:lvlText w:val="%1."/>
      <w:lvlJc w:val="left"/>
      <w:pPr>
        <w:tabs>
          <w:tab w:val="left" w:pos="312"/>
        </w:tabs>
      </w:pPr>
    </w:lvl>
  </w:abstractNum>
  <w:abstractNum w:abstractNumId="2">
    <w:nsid w:val="C1B20E0A"/>
    <w:multiLevelType w:val="singleLevel"/>
    <w:tmpl w:val="C1B20E0A"/>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272026"/>
    <w:rsid w:val="11D00DD5"/>
    <w:rsid w:val="16AC1C17"/>
    <w:rsid w:val="19E60F34"/>
    <w:rsid w:val="1B435F74"/>
    <w:rsid w:val="231F2B15"/>
    <w:rsid w:val="2B2C58DD"/>
    <w:rsid w:val="35F26130"/>
    <w:rsid w:val="48C367CA"/>
    <w:rsid w:val="5DEC7670"/>
    <w:rsid w:val="5F953D26"/>
    <w:rsid w:val="61AE5EC5"/>
    <w:rsid w:val="66302D27"/>
    <w:rsid w:val="6885353C"/>
    <w:rsid w:val="6AF16E7E"/>
    <w:rsid w:val="6B2A38DF"/>
    <w:rsid w:val="700D02D0"/>
    <w:rsid w:val="73F32615"/>
    <w:rsid w:val="77C34158"/>
    <w:rsid w:val="7B474FD9"/>
    <w:rsid w:val="7FA20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