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firstLineChars="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审批意见：</w:t>
      </w:r>
    </w:p>
    <w:p>
      <w:pPr>
        <w:spacing w:line="500" w:lineRule="exact"/>
        <w:ind w:firstLine="640"/>
        <w:jc w:val="right"/>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长环建审[2023]</w:t>
      </w:r>
      <w:r>
        <w:rPr>
          <w:rFonts w:hint="eastAsia" w:asciiTheme="majorEastAsia" w:hAnsiTheme="majorEastAsia" w:eastAsiaTheme="majorEastAsia" w:cstheme="majorEastAsia"/>
          <w:sz w:val="32"/>
          <w:szCs w:val="32"/>
          <w:lang w:val="en-US" w:eastAsia="zh-CN"/>
        </w:rPr>
        <w:t>46</w:t>
      </w:r>
      <w:r>
        <w:rPr>
          <w:rFonts w:hint="eastAsia" w:asciiTheme="majorEastAsia" w:hAnsiTheme="majorEastAsia" w:eastAsiaTheme="majorEastAsia" w:cstheme="majorEastAsia"/>
          <w:sz w:val="32"/>
          <w:szCs w:val="32"/>
        </w:rPr>
        <w:t>号</w:t>
      </w:r>
    </w:p>
    <w:p>
      <w:pPr>
        <w:adjustRightInd w:val="0"/>
        <w:spacing w:line="560" w:lineRule="exact"/>
        <w:ind w:firstLine="0" w:firstLineChars="0"/>
        <w:jc w:val="center"/>
        <w:textAlignment w:val="baseline"/>
        <w:rPr>
          <w:rFonts w:ascii="黑体" w:hAnsi="黑体" w:eastAsia="黑体" w:cs="黑体"/>
          <w:b/>
          <w:bCs/>
          <w:sz w:val="44"/>
          <w:szCs w:val="44"/>
        </w:rPr>
      </w:pPr>
      <w:r>
        <w:rPr>
          <w:rFonts w:hint="eastAsia" w:ascii="黑体" w:hAnsi="黑体" w:eastAsia="黑体" w:cs="黑体"/>
          <w:b/>
          <w:bCs/>
          <w:sz w:val="44"/>
          <w:szCs w:val="44"/>
        </w:rPr>
        <w:t>长葛市环境保护局</w:t>
      </w:r>
    </w:p>
    <w:p>
      <w:pPr>
        <w:adjustRightInd w:val="0"/>
        <w:spacing w:line="500" w:lineRule="exact"/>
        <w:ind w:firstLine="0" w:firstLineChars="0"/>
        <w:jc w:val="center"/>
        <w:rPr>
          <w:rFonts w:ascii="黑体" w:hAnsi="黑体" w:eastAsia="黑体" w:cs="黑体"/>
          <w:b/>
          <w:bCs/>
          <w:sz w:val="44"/>
          <w:szCs w:val="44"/>
        </w:rPr>
      </w:pPr>
      <w:r>
        <w:rPr>
          <w:rFonts w:hint="eastAsia" w:ascii="黑体" w:hAnsi="黑体" w:eastAsia="黑体" w:cs="黑体"/>
          <w:b/>
          <w:sz w:val="44"/>
          <w:szCs w:val="44"/>
        </w:rPr>
        <w:t>关于</w:t>
      </w:r>
      <w:bookmarkStart w:id="0" w:name="_Hlk73345218"/>
      <w:r>
        <w:rPr>
          <w:rFonts w:hint="eastAsia" w:ascii="黑体" w:hAnsi="黑体" w:eastAsia="黑体" w:cs="黑体"/>
          <w:b/>
          <w:bCs/>
          <w:sz w:val="44"/>
          <w:szCs w:val="44"/>
        </w:rPr>
        <w:t>河南龙盛新材料科技有限公司</w:t>
      </w:r>
    </w:p>
    <w:p>
      <w:pPr>
        <w:adjustRightInd w:val="0"/>
        <w:spacing w:line="500" w:lineRule="exact"/>
        <w:ind w:firstLine="0" w:firstLineChars="0"/>
        <w:jc w:val="center"/>
        <w:rPr>
          <w:rFonts w:ascii="黑体" w:hAnsi="黑体" w:eastAsia="黑体" w:cs="黑体"/>
          <w:b/>
          <w:bCs/>
          <w:sz w:val="44"/>
          <w:szCs w:val="44"/>
        </w:rPr>
      </w:pPr>
      <w:bookmarkStart w:id="1" w:name="_Hlk140132742"/>
      <w:bookmarkStart w:id="2" w:name="_Hlk62550058"/>
      <w:r>
        <w:rPr>
          <w:rFonts w:hint="eastAsia" w:ascii="黑体" w:hAnsi="黑体" w:eastAsia="黑体" w:cs="黑体"/>
          <w:b/>
          <w:bCs/>
          <w:sz w:val="44"/>
          <w:szCs w:val="44"/>
        </w:rPr>
        <w:t>高端铝板带精加工技术改造项</w:t>
      </w:r>
      <w:bookmarkEnd w:id="1"/>
      <w:r>
        <w:rPr>
          <w:rFonts w:hint="eastAsia" w:ascii="黑体" w:hAnsi="黑体" w:eastAsia="黑体" w:cs="黑体"/>
          <w:b/>
          <w:bCs/>
          <w:sz w:val="44"/>
          <w:szCs w:val="44"/>
        </w:rPr>
        <w:t>目</w:t>
      </w:r>
      <w:bookmarkEnd w:id="2"/>
    </w:p>
    <w:p>
      <w:pPr>
        <w:adjustRightInd w:val="0"/>
        <w:spacing w:line="500" w:lineRule="exact"/>
        <w:ind w:firstLine="0" w:firstLineChars="0"/>
        <w:jc w:val="center"/>
        <w:rPr>
          <w:rFonts w:ascii="黑体" w:hAnsi="黑体" w:eastAsia="黑体" w:cs="黑体"/>
          <w:b/>
          <w:bCs/>
          <w:sz w:val="44"/>
          <w:szCs w:val="44"/>
        </w:rPr>
      </w:pPr>
      <w:r>
        <w:rPr>
          <w:rFonts w:hint="eastAsia" w:ascii="黑体" w:hAnsi="黑体" w:eastAsia="黑体" w:cs="黑体"/>
          <w:b/>
          <w:bCs/>
          <w:sz w:val="44"/>
          <w:szCs w:val="44"/>
        </w:rPr>
        <w:t>环</w:t>
      </w:r>
      <w:r>
        <w:rPr>
          <w:rFonts w:hint="eastAsia" w:ascii="黑体" w:hAnsi="黑体" w:eastAsia="黑体" w:cs="黑体"/>
          <w:b/>
          <w:sz w:val="44"/>
          <w:szCs w:val="44"/>
        </w:rPr>
        <w:t>境影响报告表</w:t>
      </w:r>
      <w:bookmarkEnd w:id="0"/>
      <w:r>
        <w:rPr>
          <w:rFonts w:hint="eastAsia" w:ascii="黑体" w:hAnsi="黑体" w:eastAsia="黑体" w:cs="黑体"/>
          <w:b/>
          <w:sz w:val="44"/>
          <w:szCs w:val="44"/>
        </w:rPr>
        <w:t>的批复</w:t>
      </w:r>
    </w:p>
    <w:p>
      <w:pPr>
        <w:spacing w:line="500" w:lineRule="exact"/>
        <w:ind w:firstLine="320" w:firstLineChars="100"/>
        <w:rPr>
          <w:rFonts w:ascii="Times New Roman" w:hAnsi="Times New Roman" w:eastAsia="仿宋"/>
          <w:sz w:val="32"/>
          <w:szCs w:val="28"/>
        </w:rPr>
      </w:pPr>
    </w:p>
    <w:p>
      <w:pPr>
        <w:spacing w:line="520" w:lineRule="exact"/>
        <w:ind w:firstLine="0" w:firstLineChars="0"/>
        <w:rPr>
          <w:rFonts w:ascii="Times New Roman" w:hAnsi="Times New Roman" w:eastAsia="仿宋"/>
          <w:sz w:val="32"/>
          <w:szCs w:val="32"/>
        </w:rPr>
      </w:pPr>
      <w:r>
        <w:rPr>
          <w:rFonts w:hint="eastAsia" w:ascii="Times New Roman" w:hAnsi="Times New Roman" w:eastAsia="仿宋"/>
          <w:sz w:val="32"/>
          <w:szCs w:val="32"/>
        </w:rPr>
        <w:t>河南龙盛新材料科技有限公司</w:t>
      </w:r>
      <w:r>
        <w:rPr>
          <w:rFonts w:ascii="Times New Roman" w:hAnsi="Times New Roman" w:eastAsia="仿宋"/>
          <w:sz w:val="32"/>
          <w:szCs w:val="32"/>
        </w:rPr>
        <w:t>：</w:t>
      </w:r>
    </w:p>
    <w:p>
      <w:pPr>
        <w:spacing w:line="560" w:lineRule="exact"/>
        <w:ind w:firstLine="640"/>
        <w:textAlignment w:val="baseline"/>
        <w:rPr>
          <w:rFonts w:ascii="Times New Roman" w:hAnsi="Times New Roman" w:eastAsia="仿宋"/>
          <w:sz w:val="32"/>
          <w:szCs w:val="32"/>
        </w:rPr>
      </w:pPr>
      <w:r>
        <w:rPr>
          <w:rFonts w:ascii="Times New Roman" w:hAnsi="Times New Roman" w:eastAsia="仿宋"/>
          <w:sz w:val="32"/>
          <w:szCs w:val="32"/>
        </w:rPr>
        <w:t>你公司（统一社会信用代码：91411082MA45P96C6L）报送的由</w:t>
      </w:r>
      <w:r>
        <w:rPr>
          <w:rFonts w:ascii="Times New Roman" w:hAnsi="Times New Roman" w:eastAsia="仿宋_GB2312"/>
          <w:sz w:val="32"/>
          <w:szCs w:val="32"/>
        </w:rPr>
        <w:t>河南先登环保科技有限公司</w:t>
      </w:r>
      <w:r>
        <w:rPr>
          <w:rFonts w:ascii="Times New Roman" w:hAnsi="Times New Roman" w:eastAsia="仿宋"/>
          <w:sz w:val="32"/>
          <w:szCs w:val="32"/>
        </w:rPr>
        <w:t>编制完成的《</w:t>
      </w:r>
      <w:r>
        <w:rPr>
          <w:rFonts w:hint="eastAsia" w:ascii="Times New Roman" w:hAnsi="Times New Roman" w:eastAsia="仿宋"/>
          <w:sz w:val="32"/>
          <w:szCs w:val="32"/>
        </w:rPr>
        <w:t>河南龙盛新材料科技有限公司高端铝板带精加工技术改造项目</w:t>
      </w:r>
      <w:r>
        <w:rPr>
          <w:rFonts w:ascii="Times New Roman" w:hAnsi="Times New Roman" w:eastAsia="仿宋"/>
          <w:sz w:val="32"/>
          <w:szCs w:val="32"/>
        </w:rPr>
        <w:t>环境影响报告表》（以下简称《报告表》）收悉，并已在我局网站公示期满。根据《中华人民共和国环境保护法》《中华人民共和国行政许可法》《中华人民共和国环境影响评价法》《建设项目环境保护管理条例》等法律法规规定，经研究，批复如下：</w:t>
      </w:r>
    </w:p>
    <w:p>
      <w:pPr>
        <w:spacing w:line="520" w:lineRule="exact"/>
        <w:ind w:firstLine="640"/>
        <w:rPr>
          <w:rFonts w:ascii="Times New Roman" w:hAnsi="Times New Roman" w:eastAsia="仿宋"/>
          <w:sz w:val="32"/>
          <w:szCs w:val="32"/>
        </w:rPr>
      </w:pPr>
      <w:r>
        <w:rPr>
          <w:rFonts w:ascii="Times New Roman" w:hAnsi="Times New Roman" w:eastAsia="仿宋"/>
          <w:sz w:val="32"/>
          <w:szCs w:val="32"/>
        </w:rPr>
        <w:t>一、《报告表》内容符合国家有关法律法规要求和建设项目环境管理规定，评价结论可信，我局原则同意你公司按照《报告表》所列项目的性质、规模、地点、采用的生产工艺和环境保护对策进行建设。</w:t>
      </w:r>
    </w:p>
    <w:p>
      <w:pPr>
        <w:spacing w:line="520" w:lineRule="exact"/>
        <w:ind w:firstLine="640"/>
        <w:textAlignment w:val="baseline"/>
        <w:rPr>
          <w:rFonts w:ascii="Times New Roman" w:hAnsi="Times New Roman" w:eastAsia="仿宋"/>
          <w:b/>
          <w:bCs/>
          <w:sz w:val="32"/>
          <w:szCs w:val="32"/>
        </w:rPr>
      </w:pPr>
      <w:r>
        <w:rPr>
          <w:rFonts w:ascii="Times New Roman" w:hAnsi="Times New Roman" w:eastAsia="仿宋"/>
          <w:sz w:val="32"/>
          <w:szCs w:val="32"/>
        </w:rPr>
        <w:t>二、你公司应向社会公众主动公开业经批准的《报告表》，并接受相关方的垂询。</w:t>
      </w:r>
    </w:p>
    <w:p>
      <w:pPr>
        <w:spacing w:line="520" w:lineRule="exact"/>
        <w:ind w:firstLine="640"/>
        <w:rPr>
          <w:rFonts w:ascii="Times New Roman" w:hAnsi="Times New Roman" w:eastAsia="仿宋"/>
          <w:sz w:val="32"/>
          <w:szCs w:val="32"/>
        </w:rPr>
      </w:pPr>
      <w:r>
        <w:rPr>
          <w:rFonts w:ascii="Times New Roman" w:hAnsi="Times New Roman" w:eastAsia="仿宋"/>
          <w:sz w:val="32"/>
          <w:szCs w:val="32"/>
        </w:rPr>
        <w:t>三、你公司应全面落实《报告表》提出的各项环境保护措施，确保各项环境保护设施与主体工程同时设计、同时施工、同时投入使用，确保各项污染物达标排放。</w:t>
      </w:r>
    </w:p>
    <w:p>
      <w:pPr>
        <w:spacing w:line="480" w:lineRule="exact"/>
        <w:ind w:firstLine="640"/>
        <w:rPr>
          <w:rFonts w:ascii="Times New Roman" w:hAnsi="Times New Roman" w:eastAsia="仿宋"/>
          <w:sz w:val="32"/>
          <w:szCs w:val="32"/>
        </w:rPr>
      </w:pPr>
      <w:r>
        <w:rPr>
          <w:rFonts w:ascii="Times New Roman" w:hAnsi="Times New Roman" w:eastAsia="仿宋"/>
          <w:sz w:val="32"/>
          <w:szCs w:val="32"/>
        </w:rPr>
        <w:t>（一）向设计单位提供《报告表》和本批复文件，确保项目设计按照环境保护设计规范要求，落实防治环境污染和生态破坏的措施以及环保设施投资概算。</w:t>
      </w:r>
    </w:p>
    <w:p>
      <w:pPr>
        <w:spacing w:line="520" w:lineRule="exact"/>
        <w:ind w:firstLine="640"/>
        <w:rPr>
          <w:rFonts w:ascii="Times New Roman" w:hAnsi="Times New Roman" w:eastAsia="仿宋"/>
          <w:sz w:val="32"/>
          <w:szCs w:val="32"/>
        </w:rPr>
      </w:pPr>
      <w:r>
        <w:rPr>
          <w:rFonts w:ascii="Times New Roman" w:hAnsi="Times New Roman" w:eastAsia="仿宋"/>
          <w:sz w:val="32"/>
          <w:szCs w:val="32"/>
        </w:rPr>
        <w:t>（二）依据《报告表》和本批复文件，对项目建设过程中产生的废水、废气、噪声、固体废物等污染，以及因施工对自然、生态环境造成的破坏，采取相应的防治措施。</w:t>
      </w:r>
    </w:p>
    <w:p>
      <w:pPr>
        <w:spacing w:line="500" w:lineRule="exact"/>
        <w:ind w:firstLine="640"/>
        <w:rPr>
          <w:rFonts w:ascii="Times New Roman" w:hAnsi="Times New Roman" w:eastAsia="仿宋"/>
          <w:sz w:val="32"/>
          <w:szCs w:val="28"/>
        </w:rPr>
      </w:pPr>
      <w:r>
        <w:rPr>
          <w:rFonts w:ascii="Times New Roman" w:hAnsi="Times New Roman" w:eastAsia="仿宋"/>
          <w:sz w:val="32"/>
          <w:szCs w:val="32"/>
        </w:rPr>
        <w:t>四、项目位于</w:t>
      </w:r>
      <w:r>
        <w:rPr>
          <w:rFonts w:hint="eastAsia" w:ascii="Times New Roman" w:hAnsi="Times New Roman" w:eastAsia="仿宋"/>
          <w:sz w:val="32"/>
          <w:szCs w:val="32"/>
        </w:rPr>
        <w:t>河南省许昌市长葛市产业集聚区华夏大道东侧1</w:t>
      </w:r>
      <w:r>
        <w:rPr>
          <w:rFonts w:ascii="Times New Roman" w:hAnsi="Times New Roman" w:eastAsia="仿宋"/>
          <w:sz w:val="32"/>
          <w:szCs w:val="32"/>
        </w:rPr>
        <w:t>2</w:t>
      </w:r>
      <w:r>
        <w:rPr>
          <w:rFonts w:hint="eastAsia" w:ascii="Times New Roman" w:hAnsi="Times New Roman" w:eastAsia="仿宋"/>
          <w:sz w:val="32"/>
          <w:szCs w:val="32"/>
        </w:rPr>
        <w:t>号</w:t>
      </w:r>
      <w:r>
        <w:rPr>
          <w:rFonts w:ascii="Times New Roman" w:hAnsi="Times New Roman" w:eastAsia="仿宋"/>
          <w:sz w:val="32"/>
          <w:szCs w:val="32"/>
        </w:rPr>
        <w:t>，</w:t>
      </w:r>
      <w:r>
        <w:rPr>
          <w:rFonts w:hint="eastAsia" w:ascii="Times New Roman" w:hAnsi="Times New Roman" w:eastAsia="仿宋"/>
          <w:sz w:val="32"/>
          <w:szCs w:val="32"/>
        </w:rPr>
        <w:t>项目不新增用地，对现有高端铝板带精加工生产线进行技术改造</w:t>
      </w:r>
      <w:r>
        <w:rPr>
          <w:rFonts w:ascii="Times New Roman" w:hAnsi="Times New Roman" w:eastAsia="仿宋"/>
          <w:sz w:val="32"/>
          <w:szCs w:val="32"/>
        </w:rPr>
        <w:t>，总投资1000万元，环保投资21.5万元。</w:t>
      </w:r>
    </w:p>
    <w:p>
      <w:pPr>
        <w:spacing w:line="500" w:lineRule="exact"/>
        <w:ind w:firstLine="640"/>
        <w:rPr>
          <w:rFonts w:ascii="Times New Roman" w:hAnsi="Times New Roman" w:eastAsia="仿宋"/>
          <w:sz w:val="32"/>
          <w:szCs w:val="28"/>
        </w:rPr>
      </w:pPr>
      <w:r>
        <w:rPr>
          <w:rFonts w:ascii="Times New Roman" w:hAnsi="Times New Roman" w:eastAsia="仿宋"/>
          <w:sz w:val="32"/>
          <w:szCs w:val="28"/>
        </w:rPr>
        <w:t>五、</w:t>
      </w:r>
      <w:r>
        <w:rPr>
          <w:rFonts w:ascii="Times New Roman" w:hAnsi="Times New Roman" w:eastAsia="仿宋"/>
          <w:sz w:val="32"/>
          <w:szCs w:val="32"/>
        </w:rPr>
        <w:t>项目外排污染物应满足以下要求</w:t>
      </w:r>
      <w:r>
        <w:rPr>
          <w:rFonts w:ascii="Times New Roman" w:hAnsi="Times New Roman" w:eastAsia="仿宋"/>
          <w:sz w:val="32"/>
          <w:szCs w:val="28"/>
        </w:rPr>
        <w:t>：</w:t>
      </w:r>
    </w:p>
    <w:p>
      <w:pPr>
        <w:spacing w:line="500" w:lineRule="exact"/>
        <w:ind w:firstLine="640"/>
        <w:rPr>
          <w:rFonts w:ascii="Times New Roman" w:hAnsi="Times New Roman" w:eastAsia="仿宋"/>
          <w:sz w:val="32"/>
          <w:szCs w:val="28"/>
        </w:rPr>
      </w:pPr>
      <w:r>
        <w:rPr>
          <w:rFonts w:ascii="Times New Roman" w:hAnsi="Times New Roman" w:eastAsia="仿宋"/>
          <w:sz w:val="32"/>
          <w:szCs w:val="32"/>
        </w:rPr>
        <w:t>1.</w:t>
      </w:r>
      <w:r>
        <w:rPr>
          <w:rFonts w:ascii="Times New Roman" w:hAnsi="Times New Roman" w:eastAsia="仿宋"/>
          <w:sz w:val="32"/>
          <w:szCs w:val="28"/>
        </w:rPr>
        <w:t>废气：</w:t>
      </w:r>
      <w:r>
        <w:rPr>
          <w:rFonts w:hint="eastAsia" w:ascii="Times New Roman" w:hAnsi="Times New Roman" w:eastAsia="仿宋"/>
          <w:sz w:val="32"/>
          <w:szCs w:val="28"/>
        </w:rPr>
        <w:t>项目抛光环节产生的颗粒物废气经集气罩收集，经1套袋式除尘器处理后，经1</w:t>
      </w:r>
      <w:r>
        <w:rPr>
          <w:rFonts w:ascii="Times New Roman" w:hAnsi="Times New Roman" w:eastAsia="仿宋"/>
          <w:sz w:val="32"/>
          <w:szCs w:val="28"/>
        </w:rPr>
        <w:t>5</w:t>
      </w:r>
      <w:r>
        <w:rPr>
          <w:rFonts w:hint="eastAsia" w:ascii="Times New Roman" w:hAnsi="Times New Roman" w:eastAsia="仿宋"/>
          <w:sz w:val="32"/>
          <w:szCs w:val="28"/>
        </w:rPr>
        <w:t>m排气筒排放，颗粒物应满足《大气污染物综合排放标准》（GB16297-1996）和《重污染天气重点行业应急减排措施制定技术指南（2020年修订版）》（环办大气函(2020)340号）有色金属压延行业B级企业要求；轧制环节产生的非甲烷总烃废气经集气罩收集，经1套多级油雾回收装置处理后，经1</w:t>
      </w:r>
      <w:r>
        <w:rPr>
          <w:rFonts w:ascii="Times New Roman" w:hAnsi="Times New Roman" w:eastAsia="仿宋"/>
          <w:sz w:val="32"/>
          <w:szCs w:val="28"/>
        </w:rPr>
        <w:t>5</w:t>
      </w:r>
      <w:r>
        <w:rPr>
          <w:rFonts w:hint="eastAsia" w:ascii="Times New Roman" w:hAnsi="Times New Roman" w:eastAsia="仿宋"/>
          <w:sz w:val="32"/>
          <w:szCs w:val="28"/>
        </w:rPr>
        <w:t>m排气筒排放，非甲烷总烃应满足</w:t>
      </w:r>
      <w:r>
        <w:rPr>
          <w:rFonts w:hint="eastAsia" w:ascii="Times New Roman" w:hAnsi="Times New Roman" w:eastAsia="仿宋"/>
          <w:color w:val="auto"/>
          <w:sz w:val="32"/>
          <w:szCs w:val="28"/>
          <w:lang w:eastAsia="zh-CN"/>
        </w:rPr>
        <w:t>《</w:t>
      </w:r>
      <w:r>
        <w:rPr>
          <w:rFonts w:hint="eastAsia" w:ascii="Times New Roman" w:hAnsi="Times New Roman" w:eastAsia="仿宋"/>
          <w:color w:val="auto"/>
          <w:sz w:val="32"/>
          <w:szCs w:val="28"/>
        </w:rPr>
        <w:t>大气污染物综合排放标准》（GB16297-1996）</w:t>
      </w:r>
      <w:r>
        <w:rPr>
          <w:rFonts w:hint="eastAsia" w:ascii="Times New Roman" w:hAnsi="Times New Roman" w:eastAsia="仿宋"/>
          <w:color w:val="auto"/>
          <w:sz w:val="32"/>
          <w:szCs w:val="28"/>
          <w:lang w:eastAsia="zh-CN"/>
        </w:rPr>
        <w:t>、</w:t>
      </w:r>
      <w:r>
        <w:rPr>
          <w:rFonts w:hint="eastAsia" w:ascii="Times New Roman" w:hAnsi="Times New Roman" w:eastAsia="仿宋"/>
          <w:color w:val="auto"/>
          <w:sz w:val="32"/>
          <w:szCs w:val="28"/>
        </w:rPr>
        <w:t>《关于全省开展工业企业挥发性有机物专项治理</w:t>
      </w:r>
      <w:r>
        <w:rPr>
          <w:rFonts w:hint="eastAsia" w:ascii="Times New Roman" w:hAnsi="Times New Roman" w:eastAsia="仿宋"/>
          <w:sz w:val="32"/>
          <w:szCs w:val="28"/>
        </w:rPr>
        <w:t>工作中排放建议值的通知》（豫环攻坚办[2017]162号）中其他行业排放限值要求；天然气燃烧机安装低氮燃烧装置，天然气燃烧废气经1</w:t>
      </w:r>
      <w:r>
        <w:rPr>
          <w:rFonts w:ascii="Times New Roman" w:hAnsi="Times New Roman" w:eastAsia="仿宋"/>
          <w:sz w:val="32"/>
          <w:szCs w:val="28"/>
        </w:rPr>
        <w:t>5</w:t>
      </w:r>
      <w:r>
        <w:rPr>
          <w:rFonts w:hint="eastAsia" w:ascii="Times New Roman" w:hAnsi="Times New Roman" w:eastAsia="仿宋"/>
          <w:sz w:val="32"/>
          <w:szCs w:val="28"/>
        </w:rPr>
        <w:t>m排气筒排放，颗粒物、二氧化硫、氮氧化物应满足《河南省工业炉窑大气污染物排放标准》（DB41/1066-2020）和《重污染天气重点行业应急减排措施制定技术指南（2020年修订版）》（环办大气函(2020)340号）有色金属压延行业B级企业要求。</w:t>
      </w:r>
      <w:bookmarkStart w:id="3" w:name="_GoBack"/>
      <w:bookmarkEnd w:id="3"/>
    </w:p>
    <w:p>
      <w:pPr>
        <w:spacing w:line="500" w:lineRule="exact"/>
        <w:ind w:firstLine="640"/>
        <w:rPr>
          <w:rFonts w:ascii="Times New Roman" w:hAnsi="Times New Roman" w:eastAsia="仿宋"/>
          <w:sz w:val="32"/>
          <w:szCs w:val="28"/>
        </w:rPr>
      </w:pPr>
      <w:r>
        <w:rPr>
          <w:rFonts w:ascii="Times New Roman" w:hAnsi="Times New Roman" w:eastAsia="仿宋"/>
          <w:sz w:val="32"/>
          <w:szCs w:val="32"/>
        </w:rPr>
        <w:t>2.</w:t>
      </w:r>
      <w:r>
        <w:rPr>
          <w:rFonts w:ascii="Times New Roman" w:hAnsi="Times New Roman" w:eastAsia="仿宋"/>
          <w:sz w:val="32"/>
          <w:szCs w:val="28"/>
        </w:rPr>
        <w:t>废水：</w:t>
      </w:r>
      <w:r>
        <w:rPr>
          <w:rFonts w:hint="eastAsia" w:ascii="Times New Roman" w:hAnsi="Times New Roman" w:eastAsia="仿宋"/>
          <w:sz w:val="32"/>
          <w:szCs w:val="28"/>
        </w:rPr>
        <w:t>本项目高压喷淋清洗废水、淬火冷却水、轧机冷却水和磨抛废水经循环冷却系统过滤后循环使用不外排，仅定期添加损耗；去离子水制备废水经收集后全部回用于磨抛工段，不外排；生活污水经厂区化粪池处理后由市政污水管网排入长葛市城南污水净化有限公司，生活污水处理后水质应满足《污水综合排放标准》（GB8978-1996）和长葛市城南污水净化有限公司进水水质要求</w:t>
      </w:r>
      <w:r>
        <w:rPr>
          <w:rFonts w:ascii="Times New Roman" w:hAnsi="Times New Roman" w:eastAsia="仿宋"/>
          <w:sz w:val="32"/>
          <w:szCs w:val="28"/>
        </w:rPr>
        <w:t>。</w:t>
      </w:r>
    </w:p>
    <w:p>
      <w:pPr>
        <w:spacing w:line="500" w:lineRule="exact"/>
        <w:ind w:firstLine="640"/>
        <w:rPr>
          <w:rFonts w:ascii="Times New Roman" w:hAnsi="Times New Roman" w:eastAsia="仿宋"/>
          <w:sz w:val="32"/>
          <w:szCs w:val="28"/>
        </w:rPr>
      </w:pPr>
      <w:r>
        <w:rPr>
          <w:rFonts w:ascii="Times New Roman" w:hAnsi="Times New Roman" w:eastAsia="仿宋"/>
          <w:sz w:val="32"/>
          <w:szCs w:val="32"/>
        </w:rPr>
        <w:t>3.</w:t>
      </w:r>
      <w:r>
        <w:rPr>
          <w:rFonts w:ascii="Times New Roman" w:hAnsi="Times New Roman" w:eastAsia="仿宋"/>
          <w:sz w:val="32"/>
          <w:szCs w:val="28"/>
        </w:rPr>
        <w:t>噪声：项目的主要噪声源为车间各设备运行过程中产生的噪声，对高噪声源采取隔声、减振等措施降噪，确保厂界噪声满足《工业企业厂界环境噪声排放标准》（GB12348-2008）中2类标准要求。</w:t>
      </w:r>
    </w:p>
    <w:p>
      <w:pPr>
        <w:spacing w:line="500" w:lineRule="exact"/>
        <w:ind w:firstLine="640"/>
        <w:rPr>
          <w:rFonts w:ascii="Times New Roman" w:hAnsi="Times New Roman" w:eastAsia="仿宋"/>
          <w:sz w:val="32"/>
          <w:szCs w:val="28"/>
        </w:rPr>
      </w:pPr>
      <w:r>
        <w:rPr>
          <w:rFonts w:ascii="Times New Roman" w:hAnsi="Times New Roman" w:eastAsia="仿宋"/>
          <w:sz w:val="32"/>
          <w:szCs w:val="32"/>
        </w:rPr>
        <w:t>4.</w:t>
      </w:r>
      <w:r>
        <w:rPr>
          <w:rFonts w:ascii="Times New Roman" w:hAnsi="Times New Roman" w:eastAsia="仿宋"/>
          <w:sz w:val="32"/>
          <w:szCs w:val="28"/>
        </w:rPr>
        <w:t>固废：</w:t>
      </w:r>
      <w:r>
        <w:rPr>
          <w:rFonts w:hint="eastAsia" w:ascii="Times New Roman" w:hAnsi="Times New Roman" w:eastAsia="仿宋"/>
          <w:sz w:val="32"/>
          <w:szCs w:val="28"/>
        </w:rPr>
        <w:t>生活垃圾定期交由环卫部门清运；边角料、废铝屑和金属渣集中收集后暂存于厂区一般固废暂存区，定期外售，</w:t>
      </w:r>
      <w:r>
        <w:rPr>
          <w:rFonts w:ascii="Times New Roman" w:hAnsi="Times New Roman" w:eastAsia="仿宋"/>
          <w:sz w:val="32"/>
          <w:szCs w:val="28"/>
        </w:rPr>
        <w:t>废离子</w:t>
      </w:r>
      <w:r>
        <w:rPr>
          <w:rFonts w:hint="eastAsia" w:ascii="Times New Roman" w:hAnsi="Times New Roman" w:eastAsia="仿宋"/>
          <w:sz w:val="32"/>
          <w:szCs w:val="28"/>
        </w:rPr>
        <w:t>交换</w:t>
      </w:r>
      <w:r>
        <w:rPr>
          <w:rFonts w:ascii="Times New Roman" w:hAnsi="Times New Roman" w:eastAsia="仿宋"/>
          <w:sz w:val="32"/>
          <w:szCs w:val="28"/>
        </w:rPr>
        <w:t>树脂由厂商更换后回收，厂区不暂存</w:t>
      </w:r>
      <w:r>
        <w:rPr>
          <w:rFonts w:hint="eastAsia" w:ascii="Times New Roman" w:hAnsi="Times New Roman" w:eastAsia="仿宋"/>
          <w:sz w:val="32"/>
          <w:szCs w:val="28"/>
        </w:rPr>
        <w:t>，一般固废暂存应满足《一般固体废物贮存和填埋污染控制标准》（GB18599-2020）的要求；废液压油、废轧制油采用专用防渗防腐包装桶收集后，和废油桶、废硅藻土、废滤布暂存于危废暂存间内，定期交有资质单位处置。危险废物暂存应满足《危险废物贮存污染控制标准》（GB18597-2023）的要求。</w:t>
      </w:r>
    </w:p>
    <w:p>
      <w:pPr>
        <w:spacing w:line="500" w:lineRule="exact"/>
        <w:ind w:firstLine="640"/>
        <w:rPr>
          <w:rFonts w:ascii="Times New Roman" w:hAnsi="Times New Roman" w:eastAsia="仿宋"/>
          <w:sz w:val="32"/>
          <w:szCs w:val="28"/>
        </w:rPr>
      </w:pPr>
      <w:r>
        <w:rPr>
          <w:rFonts w:ascii="Times New Roman" w:hAnsi="Times New Roman" w:eastAsia="仿宋"/>
          <w:sz w:val="32"/>
          <w:szCs w:val="28"/>
        </w:rPr>
        <w:t>六、项目建成后，主要污染物控制排放量（</w:t>
      </w:r>
      <w:r>
        <w:rPr>
          <w:rFonts w:hint="eastAsia" w:ascii="Times New Roman" w:hAnsi="Times New Roman" w:eastAsia="仿宋"/>
          <w:sz w:val="32"/>
          <w:szCs w:val="28"/>
        </w:rPr>
        <w:t>以出厂量</w:t>
      </w:r>
      <w:r>
        <w:rPr>
          <w:rFonts w:ascii="Times New Roman" w:hAnsi="Times New Roman" w:eastAsia="仿宋"/>
          <w:sz w:val="32"/>
          <w:szCs w:val="28"/>
        </w:rPr>
        <w:t>计）：化学需氧量1.4746t/a、氨氮0.192t/a</w:t>
      </w:r>
      <w:r>
        <w:rPr>
          <w:rFonts w:hint="eastAsia" w:ascii="Times New Roman" w:hAnsi="Times New Roman" w:eastAsia="仿宋"/>
          <w:sz w:val="32"/>
          <w:szCs w:val="28"/>
        </w:rPr>
        <w:t>、</w:t>
      </w:r>
      <w:r>
        <w:rPr>
          <w:rFonts w:ascii="Times New Roman" w:hAnsi="Times New Roman" w:eastAsia="仿宋"/>
          <w:sz w:val="32"/>
          <w:szCs w:val="28"/>
        </w:rPr>
        <w:t>二氧化硫</w:t>
      </w:r>
      <w:r>
        <w:rPr>
          <w:rFonts w:hint="eastAsia" w:ascii="Times New Roman" w:hAnsi="Times New Roman" w:eastAsia="仿宋"/>
          <w:sz w:val="32"/>
          <w:szCs w:val="28"/>
        </w:rPr>
        <w:t>0</w:t>
      </w:r>
      <w:r>
        <w:rPr>
          <w:rFonts w:ascii="Times New Roman" w:hAnsi="Times New Roman" w:eastAsia="仿宋"/>
          <w:sz w:val="32"/>
          <w:szCs w:val="28"/>
        </w:rPr>
        <w:t>.0346t/a、氮氧化物</w:t>
      </w:r>
      <w:r>
        <w:rPr>
          <w:rFonts w:hint="eastAsia" w:ascii="Times New Roman" w:hAnsi="Times New Roman" w:eastAsia="仿宋"/>
          <w:sz w:val="32"/>
          <w:szCs w:val="28"/>
        </w:rPr>
        <w:t>0</w:t>
      </w:r>
      <w:r>
        <w:rPr>
          <w:rFonts w:ascii="Times New Roman" w:hAnsi="Times New Roman" w:eastAsia="仿宋"/>
          <w:sz w:val="32"/>
          <w:szCs w:val="28"/>
        </w:rPr>
        <w:t>.2244t/a</w:t>
      </w:r>
      <w:r>
        <w:rPr>
          <w:rFonts w:hint="eastAsia" w:ascii="Times New Roman" w:hAnsi="Times New Roman" w:eastAsia="仿宋"/>
          <w:sz w:val="32"/>
          <w:szCs w:val="28"/>
        </w:rPr>
        <w:t>、VOCs</w:t>
      </w:r>
      <w:r>
        <w:rPr>
          <w:rFonts w:ascii="Times New Roman" w:hAnsi="Times New Roman" w:eastAsia="仿宋"/>
          <w:sz w:val="32"/>
          <w:szCs w:val="28"/>
        </w:rPr>
        <w:t xml:space="preserve"> </w:t>
      </w:r>
      <w:r>
        <w:rPr>
          <w:rFonts w:hint="eastAsia" w:ascii="Times New Roman" w:hAnsi="Times New Roman" w:eastAsia="仿宋"/>
          <w:sz w:val="32"/>
          <w:szCs w:val="28"/>
        </w:rPr>
        <w:t>0</w:t>
      </w:r>
      <w:r>
        <w:rPr>
          <w:rFonts w:ascii="Times New Roman" w:hAnsi="Times New Roman" w:eastAsia="仿宋"/>
          <w:sz w:val="32"/>
          <w:szCs w:val="28"/>
        </w:rPr>
        <w:t>.05t/a</w:t>
      </w:r>
      <w:r>
        <w:rPr>
          <w:rFonts w:hint="eastAsia" w:ascii="Times New Roman" w:hAnsi="Times New Roman" w:eastAsia="仿宋"/>
          <w:sz w:val="32"/>
          <w:szCs w:val="28"/>
        </w:rPr>
        <w:t>；全厂主要污染物控制排放量（以入环境计）为：化学需氧量</w:t>
      </w:r>
      <w:r>
        <w:rPr>
          <w:rFonts w:ascii="Times New Roman" w:hAnsi="Times New Roman" w:eastAsia="仿宋"/>
          <w:sz w:val="32"/>
          <w:szCs w:val="28"/>
        </w:rPr>
        <w:t>0.2304</w:t>
      </w:r>
      <w:r>
        <w:rPr>
          <w:rFonts w:hint="eastAsia" w:ascii="Times New Roman" w:hAnsi="Times New Roman" w:eastAsia="仿宋"/>
          <w:sz w:val="32"/>
          <w:szCs w:val="28"/>
        </w:rPr>
        <w:t>t/a、氨氮0.0</w:t>
      </w:r>
      <w:r>
        <w:rPr>
          <w:rFonts w:ascii="Times New Roman" w:hAnsi="Times New Roman" w:eastAsia="仿宋"/>
          <w:sz w:val="32"/>
          <w:szCs w:val="28"/>
        </w:rPr>
        <w:t>115</w:t>
      </w:r>
      <w:r>
        <w:rPr>
          <w:rFonts w:hint="eastAsia" w:ascii="Times New Roman" w:hAnsi="Times New Roman" w:eastAsia="仿宋"/>
          <w:sz w:val="32"/>
          <w:szCs w:val="28"/>
        </w:rPr>
        <w:t>t/a、</w:t>
      </w:r>
      <w:r>
        <w:rPr>
          <w:rFonts w:ascii="Times New Roman" w:hAnsi="Times New Roman" w:eastAsia="仿宋"/>
          <w:sz w:val="32"/>
          <w:szCs w:val="28"/>
        </w:rPr>
        <w:t>二氧化硫</w:t>
      </w:r>
      <w:r>
        <w:rPr>
          <w:rFonts w:hint="eastAsia" w:ascii="Times New Roman" w:hAnsi="Times New Roman" w:eastAsia="仿宋"/>
          <w:sz w:val="32"/>
          <w:szCs w:val="28"/>
        </w:rPr>
        <w:t>0</w:t>
      </w:r>
      <w:r>
        <w:rPr>
          <w:rFonts w:ascii="Times New Roman" w:hAnsi="Times New Roman" w:eastAsia="仿宋"/>
          <w:sz w:val="32"/>
          <w:szCs w:val="28"/>
        </w:rPr>
        <w:t>.0346t/a、氮氧化物</w:t>
      </w:r>
      <w:r>
        <w:rPr>
          <w:rFonts w:hint="eastAsia" w:ascii="Times New Roman" w:hAnsi="Times New Roman" w:eastAsia="仿宋"/>
          <w:sz w:val="32"/>
          <w:szCs w:val="28"/>
        </w:rPr>
        <w:t>0</w:t>
      </w:r>
      <w:r>
        <w:rPr>
          <w:rFonts w:ascii="Times New Roman" w:hAnsi="Times New Roman" w:eastAsia="仿宋"/>
          <w:sz w:val="32"/>
          <w:szCs w:val="28"/>
        </w:rPr>
        <w:t>.2244t/a</w:t>
      </w:r>
      <w:r>
        <w:rPr>
          <w:rFonts w:hint="eastAsia" w:ascii="Times New Roman" w:hAnsi="Times New Roman" w:eastAsia="仿宋"/>
          <w:sz w:val="32"/>
          <w:szCs w:val="28"/>
        </w:rPr>
        <w:t>、VOCs</w:t>
      </w:r>
      <w:r>
        <w:rPr>
          <w:rFonts w:ascii="Times New Roman" w:hAnsi="Times New Roman" w:eastAsia="仿宋"/>
          <w:sz w:val="32"/>
          <w:szCs w:val="28"/>
        </w:rPr>
        <w:t xml:space="preserve"> </w:t>
      </w:r>
      <w:r>
        <w:rPr>
          <w:rFonts w:hint="eastAsia" w:ascii="Times New Roman" w:hAnsi="Times New Roman" w:eastAsia="仿宋"/>
          <w:sz w:val="32"/>
          <w:szCs w:val="28"/>
        </w:rPr>
        <w:t>0</w:t>
      </w:r>
      <w:r>
        <w:rPr>
          <w:rFonts w:ascii="Times New Roman" w:hAnsi="Times New Roman" w:eastAsia="仿宋"/>
          <w:sz w:val="32"/>
          <w:szCs w:val="28"/>
        </w:rPr>
        <w:t>.05t/a</w:t>
      </w:r>
      <w:r>
        <w:rPr>
          <w:rFonts w:hint="eastAsia" w:ascii="Times New Roman" w:hAnsi="Times New Roman" w:eastAsia="仿宋"/>
          <w:sz w:val="32"/>
          <w:szCs w:val="28"/>
        </w:rPr>
        <w:t>。</w:t>
      </w:r>
    </w:p>
    <w:p>
      <w:pPr>
        <w:spacing w:line="500" w:lineRule="exact"/>
        <w:ind w:firstLine="640"/>
        <w:rPr>
          <w:rFonts w:ascii="Times New Roman" w:hAnsi="Times New Roman" w:eastAsia="仿宋"/>
          <w:sz w:val="32"/>
          <w:szCs w:val="28"/>
        </w:rPr>
      </w:pPr>
      <w:r>
        <w:rPr>
          <w:rFonts w:ascii="Times New Roman" w:hAnsi="Times New Roman" w:eastAsia="仿宋"/>
          <w:sz w:val="32"/>
          <w:szCs w:val="28"/>
        </w:rPr>
        <w:t>七、项目建设严格执行环境保护设施与主体工程同时设计、同时施工、同时投入使用的环境保护“三同时”制度；项目投入生产前应申请排污许可证，做到持证排污；项目建成后，按规定程序进行竣工环境保护验收，验收合格后，方可投入正式运行。如果今后国家或我省颁布污染物排放限值的新标准，届时你公司应按新的排放标准执行。</w:t>
      </w:r>
    </w:p>
    <w:p>
      <w:pPr>
        <w:spacing w:line="500" w:lineRule="exact"/>
        <w:ind w:firstLine="640"/>
        <w:rPr>
          <w:rFonts w:ascii="Times New Roman" w:hAnsi="Times New Roman" w:eastAsia="仿宋"/>
          <w:sz w:val="32"/>
          <w:szCs w:val="28"/>
        </w:rPr>
      </w:pPr>
      <w:r>
        <w:rPr>
          <w:rFonts w:ascii="Times New Roman" w:hAnsi="Times New Roman" w:eastAsia="仿宋"/>
          <w:sz w:val="32"/>
          <w:szCs w:val="28"/>
        </w:rPr>
        <w:t>八、项目自本批复下达之日起，超过5年方决定开工建设的环境影响评价文件应报我局重新审核。项目的性质、规模、地点、采用的工艺或防治污染、防治生态破坏的措施发生重大变动的，应当重新报批项目的环境影响评价文件。</w:t>
      </w:r>
    </w:p>
    <w:p>
      <w:pPr>
        <w:spacing w:line="500" w:lineRule="exact"/>
        <w:ind w:right="420" w:firstLine="227" w:firstLineChars="71"/>
        <w:rPr>
          <w:rFonts w:ascii="Times New Roman" w:hAnsi="Times New Roman" w:eastAsia="仿宋"/>
          <w:sz w:val="32"/>
          <w:szCs w:val="28"/>
        </w:rPr>
      </w:pPr>
    </w:p>
    <w:p>
      <w:pPr>
        <w:spacing w:line="500" w:lineRule="exact"/>
        <w:ind w:left="0" w:leftChars="0" w:right="420" w:firstLine="0" w:firstLineChars="0"/>
        <w:jc w:val="right"/>
        <w:rPr>
          <w:rFonts w:ascii="Times New Roman" w:hAnsi="Times New Roman" w:eastAsia="仿宋"/>
          <w:sz w:val="32"/>
          <w:szCs w:val="28"/>
        </w:rPr>
      </w:pPr>
      <w:r>
        <w:rPr>
          <w:rFonts w:ascii="Times New Roman" w:hAnsi="Times New Roman" w:eastAsia="仿宋"/>
          <w:sz w:val="32"/>
          <w:szCs w:val="28"/>
        </w:rPr>
        <w:t>长葛市环境保护局</w:t>
      </w:r>
    </w:p>
    <w:p>
      <w:pPr>
        <w:spacing w:line="500" w:lineRule="exact"/>
        <w:ind w:firstLine="0" w:firstLineChars="0"/>
        <w:rPr>
          <w:rFonts w:ascii="仿宋" w:hAnsi="仿宋" w:eastAsia="仿宋" w:cs="仿宋"/>
          <w:sz w:val="32"/>
          <w:szCs w:val="32"/>
        </w:rPr>
      </w:pPr>
      <w:r>
        <w:rPr>
          <w:rFonts w:ascii="Times New Roman" w:hAnsi="Times New Roman" w:eastAsia="仿宋"/>
          <w:sz w:val="28"/>
          <w:szCs w:val="28"/>
        </w:rPr>
        <w:t xml:space="preserve">                                          </w:t>
      </w:r>
      <w:r>
        <w:rPr>
          <w:rFonts w:ascii="Times New Roman" w:hAnsi="Times New Roman" w:eastAsia="仿宋"/>
          <w:sz w:val="32"/>
          <w:szCs w:val="3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202</w:t>
      </w:r>
      <w:r>
        <w:rPr>
          <w:rFonts w:ascii="仿宋" w:hAnsi="仿宋" w:eastAsia="仿宋" w:cs="仿宋"/>
          <w:sz w:val="32"/>
          <w:szCs w:val="32"/>
        </w:rPr>
        <w:t>3</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ascii="仿宋" w:hAnsi="仿宋" w:eastAsia="仿宋" w:cs="仿宋"/>
          <w:sz w:val="32"/>
          <w:szCs w:val="32"/>
        </w:rPr>
        <w:t xml:space="preserve"> </w:t>
      </w:r>
      <w:r>
        <w:rPr>
          <w:rFonts w:hint="eastAsia" w:ascii="仿宋" w:hAnsi="仿宋" w:eastAsia="仿宋" w:cs="仿宋"/>
          <w:sz w:val="32"/>
          <w:szCs w:val="32"/>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134" w:bottom="1134" w:left="1418"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20"/>
      <w:jc w:val="center"/>
      <w:rPr>
        <w:rFonts w:ascii="Times New Roman" w:hAnsi="Times New Roman"/>
        <w:sz w:val="21"/>
        <w:szCs w:val="21"/>
      </w:rP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w:t>
    </w:r>
    <w:r>
      <w:rPr>
        <w:rFonts w:ascii="Times New Roman" w:hAnsi="Times New Roman"/>
        <w:sz w:val="21"/>
        <w:szCs w:val="21"/>
      </w:rPr>
      <w:t xml:space="preserve"> 2 -</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hiOTEyYzlkZGMxNjFkMjJiMWNlYjZlZGYwM2VlYmIifQ=="/>
  </w:docVars>
  <w:rsids>
    <w:rsidRoot w:val="007D2B13"/>
    <w:rsid w:val="0001151D"/>
    <w:rsid w:val="0001463A"/>
    <w:rsid w:val="00027620"/>
    <w:rsid w:val="000308A5"/>
    <w:rsid w:val="000354A0"/>
    <w:rsid w:val="00035A07"/>
    <w:rsid w:val="000427C4"/>
    <w:rsid w:val="00054479"/>
    <w:rsid w:val="0007253C"/>
    <w:rsid w:val="000736C7"/>
    <w:rsid w:val="00076890"/>
    <w:rsid w:val="0008479D"/>
    <w:rsid w:val="0009445A"/>
    <w:rsid w:val="000A463C"/>
    <w:rsid w:val="000C3F04"/>
    <w:rsid w:val="000E1F6E"/>
    <w:rsid w:val="000F1966"/>
    <w:rsid w:val="001243D6"/>
    <w:rsid w:val="001337C9"/>
    <w:rsid w:val="00144B65"/>
    <w:rsid w:val="00161104"/>
    <w:rsid w:val="00162F0C"/>
    <w:rsid w:val="00172603"/>
    <w:rsid w:val="00195A9E"/>
    <w:rsid w:val="00197EFD"/>
    <w:rsid w:val="00197FA5"/>
    <w:rsid w:val="001A4FAD"/>
    <w:rsid w:val="001B2E92"/>
    <w:rsid w:val="001B3205"/>
    <w:rsid w:val="001D6039"/>
    <w:rsid w:val="001F28F5"/>
    <w:rsid w:val="002027C6"/>
    <w:rsid w:val="002172DE"/>
    <w:rsid w:val="00234BE3"/>
    <w:rsid w:val="00262018"/>
    <w:rsid w:val="0027245B"/>
    <w:rsid w:val="002A6A82"/>
    <w:rsid w:val="002B25B4"/>
    <w:rsid w:val="002B3A16"/>
    <w:rsid w:val="002B6F2D"/>
    <w:rsid w:val="002D2C15"/>
    <w:rsid w:val="002D5BDE"/>
    <w:rsid w:val="002E5EFE"/>
    <w:rsid w:val="00303CF8"/>
    <w:rsid w:val="003102DB"/>
    <w:rsid w:val="00326E87"/>
    <w:rsid w:val="00330E22"/>
    <w:rsid w:val="00337B45"/>
    <w:rsid w:val="00347E3F"/>
    <w:rsid w:val="0035608B"/>
    <w:rsid w:val="0036385A"/>
    <w:rsid w:val="00374CF7"/>
    <w:rsid w:val="00381071"/>
    <w:rsid w:val="00381A99"/>
    <w:rsid w:val="0039610D"/>
    <w:rsid w:val="003B4539"/>
    <w:rsid w:val="003B4A2B"/>
    <w:rsid w:val="003C41A8"/>
    <w:rsid w:val="003F036F"/>
    <w:rsid w:val="003F3BEF"/>
    <w:rsid w:val="0040431E"/>
    <w:rsid w:val="00414F66"/>
    <w:rsid w:val="00431960"/>
    <w:rsid w:val="00433977"/>
    <w:rsid w:val="00433E12"/>
    <w:rsid w:val="00445468"/>
    <w:rsid w:val="00480641"/>
    <w:rsid w:val="0048228A"/>
    <w:rsid w:val="00483261"/>
    <w:rsid w:val="00483DA9"/>
    <w:rsid w:val="00484836"/>
    <w:rsid w:val="00487933"/>
    <w:rsid w:val="004C049B"/>
    <w:rsid w:val="004D5F13"/>
    <w:rsid w:val="004F0332"/>
    <w:rsid w:val="004F10D9"/>
    <w:rsid w:val="004F44AC"/>
    <w:rsid w:val="004F59FC"/>
    <w:rsid w:val="004F65BE"/>
    <w:rsid w:val="0050219B"/>
    <w:rsid w:val="00522F9A"/>
    <w:rsid w:val="00524B96"/>
    <w:rsid w:val="00533013"/>
    <w:rsid w:val="005348A6"/>
    <w:rsid w:val="0054405A"/>
    <w:rsid w:val="00553131"/>
    <w:rsid w:val="0058756A"/>
    <w:rsid w:val="005A2897"/>
    <w:rsid w:val="005A3241"/>
    <w:rsid w:val="005A3FE8"/>
    <w:rsid w:val="005B098A"/>
    <w:rsid w:val="005B635A"/>
    <w:rsid w:val="005B69E2"/>
    <w:rsid w:val="005C7411"/>
    <w:rsid w:val="005D08C4"/>
    <w:rsid w:val="005E37A6"/>
    <w:rsid w:val="005F0B2C"/>
    <w:rsid w:val="005F38FE"/>
    <w:rsid w:val="005F5460"/>
    <w:rsid w:val="00615073"/>
    <w:rsid w:val="00617348"/>
    <w:rsid w:val="00633C30"/>
    <w:rsid w:val="00636756"/>
    <w:rsid w:val="00654C81"/>
    <w:rsid w:val="00670CBA"/>
    <w:rsid w:val="00683813"/>
    <w:rsid w:val="00687BA1"/>
    <w:rsid w:val="00697932"/>
    <w:rsid w:val="006B1A23"/>
    <w:rsid w:val="006C5DE1"/>
    <w:rsid w:val="006E1881"/>
    <w:rsid w:val="006E1EAB"/>
    <w:rsid w:val="006F0776"/>
    <w:rsid w:val="006F1F9E"/>
    <w:rsid w:val="00703EA5"/>
    <w:rsid w:val="007277EB"/>
    <w:rsid w:val="00732D3D"/>
    <w:rsid w:val="00733416"/>
    <w:rsid w:val="00766F6E"/>
    <w:rsid w:val="00770882"/>
    <w:rsid w:val="00786309"/>
    <w:rsid w:val="007B0F46"/>
    <w:rsid w:val="007B5EB8"/>
    <w:rsid w:val="007C1231"/>
    <w:rsid w:val="007C2699"/>
    <w:rsid w:val="007C6BE3"/>
    <w:rsid w:val="007D2B13"/>
    <w:rsid w:val="007D6640"/>
    <w:rsid w:val="00815527"/>
    <w:rsid w:val="0081779B"/>
    <w:rsid w:val="00834977"/>
    <w:rsid w:val="00851154"/>
    <w:rsid w:val="0087557B"/>
    <w:rsid w:val="008A72D1"/>
    <w:rsid w:val="008B0DF7"/>
    <w:rsid w:val="008B75FE"/>
    <w:rsid w:val="008D3930"/>
    <w:rsid w:val="009075DA"/>
    <w:rsid w:val="009203BF"/>
    <w:rsid w:val="0093177A"/>
    <w:rsid w:val="00960F98"/>
    <w:rsid w:val="00987BDD"/>
    <w:rsid w:val="009975DC"/>
    <w:rsid w:val="009A0CC7"/>
    <w:rsid w:val="009D12A2"/>
    <w:rsid w:val="009D154D"/>
    <w:rsid w:val="009D51A8"/>
    <w:rsid w:val="009E4CEF"/>
    <w:rsid w:val="00A12974"/>
    <w:rsid w:val="00A267BB"/>
    <w:rsid w:val="00A34E24"/>
    <w:rsid w:val="00A3515D"/>
    <w:rsid w:val="00A40900"/>
    <w:rsid w:val="00A660C5"/>
    <w:rsid w:val="00A803D5"/>
    <w:rsid w:val="00A815F3"/>
    <w:rsid w:val="00A81DE6"/>
    <w:rsid w:val="00A82944"/>
    <w:rsid w:val="00AA192A"/>
    <w:rsid w:val="00AB6365"/>
    <w:rsid w:val="00AC469B"/>
    <w:rsid w:val="00AD483A"/>
    <w:rsid w:val="00AE2095"/>
    <w:rsid w:val="00AE3C36"/>
    <w:rsid w:val="00AF0C3A"/>
    <w:rsid w:val="00AF2E4C"/>
    <w:rsid w:val="00AF4012"/>
    <w:rsid w:val="00AF43D2"/>
    <w:rsid w:val="00B02255"/>
    <w:rsid w:val="00B03B54"/>
    <w:rsid w:val="00B04661"/>
    <w:rsid w:val="00B065BF"/>
    <w:rsid w:val="00B1371B"/>
    <w:rsid w:val="00B3126D"/>
    <w:rsid w:val="00B37B65"/>
    <w:rsid w:val="00B37E7B"/>
    <w:rsid w:val="00B50B13"/>
    <w:rsid w:val="00B56F9C"/>
    <w:rsid w:val="00B573B2"/>
    <w:rsid w:val="00B87F70"/>
    <w:rsid w:val="00B90722"/>
    <w:rsid w:val="00B9227F"/>
    <w:rsid w:val="00B95652"/>
    <w:rsid w:val="00BB3A17"/>
    <w:rsid w:val="00BC29B8"/>
    <w:rsid w:val="00BD6885"/>
    <w:rsid w:val="00BE3F13"/>
    <w:rsid w:val="00C02B91"/>
    <w:rsid w:val="00C17B7F"/>
    <w:rsid w:val="00C270A3"/>
    <w:rsid w:val="00C352B6"/>
    <w:rsid w:val="00C5208C"/>
    <w:rsid w:val="00C52B73"/>
    <w:rsid w:val="00C6465B"/>
    <w:rsid w:val="00C66582"/>
    <w:rsid w:val="00C85C4B"/>
    <w:rsid w:val="00C96C99"/>
    <w:rsid w:val="00CA133C"/>
    <w:rsid w:val="00CB177E"/>
    <w:rsid w:val="00CE211D"/>
    <w:rsid w:val="00CF004A"/>
    <w:rsid w:val="00D24F05"/>
    <w:rsid w:val="00D322C0"/>
    <w:rsid w:val="00D4235C"/>
    <w:rsid w:val="00D46B59"/>
    <w:rsid w:val="00D700E2"/>
    <w:rsid w:val="00D77782"/>
    <w:rsid w:val="00D91FD0"/>
    <w:rsid w:val="00DA23C0"/>
    <w:rsid w:val="00DB6225"/>
    <w:rsid w:val="00DC566E"/>
    <w:rsid w:val="00DD1B9B"/>
    <w:rsid w:val="00DE040D"/>
    <w:rsid w:val="00DE0B78"/>
    <w:rsid w:val="00DE2559"/>
    <w:rsid w:val="00DE35D9"/>
    <w:rsid w:val="00E00E18"/>
    <w:rsid w:val="00E35E8C"/>
    <w:rsid w:val="00E379B7"/>
    <w:rsid w:val="00E40295"/>
    <w:rsid w:val="00E7698B"/>
    <w:rsid w:val="00E7790D"/>
    <w:rsid w:val="00E87AA8"/>
    <w:rsid w:val="00E959A7"/>
    <w:rsid w:val="00E95B58"/>
    <w:rsid w:val="00E97358"/>
    <w:rsid w:val="00EB2A17"/>
    <w:rsid w:val="00EB773F"/>
    <w:rsid w:val="00ED1992"/>
    <w:rsid w:val="00EE67C4"/>
    <w:rsid w:val="00EF52C9"/>
    <w:rsid w:val="00F02D51"/>
    <w:rsid w:val="00F05F07"/>
    <w:rsid w:val="00F20527"/>
    <w:rsid w:val="00F20922"/>
    <w:rsid w:val="00F31681"/>
    <w:rsid w:val="00F672BD"/>
    <w:rsid w:val="00F706F4"/>
    <w:rsid w:val="00F81977"/>
    <w:rsid w:val="00F94AF2"/>
    <w:rsid w:val="00FA37CF"/>
    <w:rsid w:val="00FB183F"/>
    <w:rsid w:val="00FB69FA"/>
    <w:rsid w:val="00FC6545"/>
    <w:rsid w:val="00FD29C6"/>
    <w:rsid w:val="00FF5955"/>
    <w:rsid w:val="053603DA"/>
    <w:rsid w:val="0C6630D6"/>
    <w:rsid w:val="0FB865B4"/>
    <w:rsid w:val="0FC3576D"/>
    <w:rsid w:val="110E13E3"/>
    <w:rsid w:val="1C203BC4"/>
    <w:rsid w:val="228851EE"/>
    <w:rsid w:val="22D85868"/>
    <w:rsid w:val="38D94467"/>
    <w:rsid w:val="3A8D4976"/>
    <w:rsid w:val="3BA1213E"/>
    <w:rsid w:val="434D1CD9"/>
    <w:rsid w:val="47BC129F"/>
    <w:rsid w:val="487F6826"/>
    <w:rsid w:val="49CC62BA"/>
    <w:rsid w:val="4AC5682A"/>
    <w:rsid w:val="4B180146"/>
    <w:rsid w:val="4E8E2999"/>
    <w:rsid w:val="53603347"/>
    <w:rsid w:val="544C425A"/>
    <w:rsid w:val="558D16FF"/>
    <w:rsid w:val="5762690C"/>
    <w:rsid w:val="5D777C0E"/>
    <w:rsid w:val="5FE77E7D"/>
    <w:rsid w:val="61AB537B"/>
    <w:rsid w:val="61DE133B"/>
    <w:rsid w:val="6A40667C"/>
    <w:rsid w:val="6A637E7E"/>
    <w:rsid w:val="6C8F7C5E"/>
    <w:rsid w:val="6CE72506"/>
    <w:rsid w:val="6FB478D9"/>
    <w:rsid w:val="701871F5"/>
    <w:rsid w:val="70A37865"/>
    <w:rsid w:val="79FB580D"/>
    <w:rsid w:val="7F8353B4"/>
    <w:rsid w:val="7F9B6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qFormat="1" w:unhideWhenUsed="0" w:uiPriority="0" w:semiHidden="0" w:name="annotation text" w:locked="1"/>
    <w:lsdException w:qFormat="1" w:unhideWhenUsed="0" w:uiPriority="0" w:semiHidden="0" w:name="header" w:locked="1"/>
    <w:lsdException w:qFormat="1" w:unhideWhenUsed="0" w:uiPriority="99"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qFormat="1" w:unhideWhenUsed="0" w:uiPriority="0" w:semiHidden="0" w:name="Balloon Text" w:locked="1"/>
    <w:lsdException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locked/>
    <w:uiPriority w:val="0"/>
    <w:pPr>
      <w:jc w:val="left"/>
    </w:pPr>
  </w:style>
  <w:style w:type="paragraph" w:styleId="3">
    <w:name w:val="Balloon Text"/>
    <w:basedOn w:val="1"/>
    <w:link w:val="14"/>
    <w:qFormat/>
    <w:locked/>
    <w:uiPriority w:val="0"/>
    <w:pPr>
      <w:spacing w:line="240" w:lineRule="auto"/>
    </w:pPr>
    <w:rPr>
      <w:sz w:val="18"/>
      <w:szCs w:val="18"/>
    </w:rPr>
  </w:style>
  <w:style w:type="paragraph" w:styleId="4">
    <w:name w:val="footer"/>
    <w:basedOn w:val="1"/>
    <w:link w:val="11"/>
    <w:qFormat/>
    <w:locked/>
    <w:uiPriority w:val="99"/>
    <w:pPr>
      <w:tabs>
        <w:tab w:val="center" w:pos="4153"/>
        <w:tab w:val="right" w:pos="8306"/>
      </w:tabs>
      <w:snapToGrid w:val="0"/>
      <w:spacing w:line="240" w:lineRule="auto"/>
      <w:jc w:val="left"/>
    </w:pPr>
    <w:rPr>
      <w:sz w:val="18"/>
      <w:szCs w:val="18"/>
    </w:rPr>
  </w:style>
  <w:style w:type="paragraph" w:styleId="5">
    <w:name w:val="header"/>
    <w:basedOn w:val="1"/>
    <w:link w:val="10"/>
    <w:qFormat/>
    <w:locked/>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6">
    <w:name w:val="annotation subject"/>
    <w:basedOn w:val="2"/>
    <w:next w:val="2"/>
    <w:link w:val="13"/>
    <w:qFormat/>
    <w:locked/>
    <w:uiPriority w:val="0"/>
    <w:rPr>
      <w:b/>
      <w:bCs/>
    </w:rPr>
  </w:style>
  <w:style w:type="character" w:styleId="9">
    <w:name w:val="annotation reference"/>
    <w:basedOn w:val="8"/>
    <w:qFormat/>
    <w:locked/>
    <w:uiPriority w:val="0"/>
    <w:rPr>
      <w:sz w:val="21"/>
      <w:szCs w:val="21"/>
    </w:rPr>
  </w:style>
  <w:style w:type="character" w:customStyle="1" w:styleId="10">
    <w:name w:val="页眉 字符"/>
    <w:link w:val="5"/>
    <w:qFormat/>
    <w:uiPriority w:val="0"/>
    <w:rPr>
      <w:rFonts w:cs="Times New Roman"/>
      <w:kern w:val="2"/>
      <w:sz w:val="18"/>
      <w:szCs w:val="18"/>
    </w:rPr>
  </w:style>
  <w:style w:type="character" w:customStyle="1" w:styleId="11">
    <w:name w:val="页脚 字符"/>
    <w:link w:val="4"/>
    <w:qFormat/>
    <w:uiPriority w:val="99"/>
    <w:rPr>
      <w:rFonts w:cs="Times New Roman"/>
      <w:kern w:val="2"/>
      <w:sz w:val="18"/>
      <w:szCs w:val="18"/>
    </w:rPr>
  </w:style>
  <w:style w:type="character" w:customStyle="1" w:styleId="12">
    <w:name w:val="批注文字 字符"/>
    <w:basedOn w:val="8"/>
    <w:link w:val="2"/>
    <w:qFormat/>
    <w:uiPriority w:val="0"/>
    <w:rPr>
      <w:rFonts w:cs="Times New Roman"/>
      <w:kern w:val="2"/>
      <w:sz w:val="21"/>
      <w:szCs w:val="22"/>
    </w:rPr>
  </w:style>
  <w:style w:type="character" w:customStyle="1" w:styleId="13">
    <w:name w:val="批注主题 字符"/>
    <w:basedOn w:val="12"/>
    <w:link w:val="6"/>
    <w:qFormat/>
    <w:uiPriority w:val="0"/>
    <w:rPr>
      <w:rFonts w:cs="Times New Roman"/>
      <w:b/>
      <w:bCs/>
      <w:kern w:val="2"/>
      <w:sz w:val="21"/>
      <w:szCs w:val="22"/>
    </w:rPr>
  </w:style>
  <w:style w:type="character" w:customStyle="1" w:styleId="14">
    <w:name w:val="批注框文本 字符"/>
    <w:basedOn w:val="8"/>
    <w:link w:val="3"/>
    <w:qFormat/>
    <w:uiPriority w:val="0"/>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E49E3-879D-4827-BF7C-88F1B10BEF7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318</Words>
  <Characters>1814</Characters>
  <Lines>15</Lines>
  <Paragraphs>4</Paragraphs>
  <TotalTime>40</TotalTime>
  <ScaleCrop>false</ScaleCrop>
  <LinksUpToDate>false</LinksUpToDate>
  <CharactersWithSpaces>2128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2023-09-11T08:20:00Z</dcterms:created>
  <dc:creator>微软用户</dc:creator>
  <cp:lastModifiedBy>Administrator</cp:lastModifiedBy>
  <cp:lastPrinted>2019-12-03T00:43:00Z</cp:lastPrinted>
  <dcterms:modified xsi:type="dcterms:W3CDTF">2023-09-15T02:42:55Z</dcterms:modified>
  <dc:title>审批意见：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29A5EEA3DD754D5AB5C38EDCEA093C89</vt:lpwstr>
  </property>
</Properties>
</file>